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0332F" w14:textId="77777777" w:rsidR="001763E8" w:rsidRPr="00771FC2" w:rsidRDefault="001763E8" w:rsidP="001763E8">
      <w:pPr>
        <w:keepNext/>
        <w:ind w:left="6480"/>
        <w:outlineLvl w:val="2"/>
        <w:rPr>
          <w:bCs/>
        </w:rPr>
      </w:pPr>
      <w:bookmarkStart w:id="0" w:name="_Toc400111793"/>
      <w:bookmarkStart w:id="1" w:name="_Toc400351812"/>
      <w:r w:rsidRPr="00771FC2">
        <w:rPr>
          <w:bCs/>
        </w:rPr>
        <w:t xml:space="preserve">Rinkos konsultacijos </w:t>
      </w:r>
    </w:p>
    <w:p w14:paraId="12A863D3" w14:textId="639E5D68" w:rsidR="001763E8" w:rsidRDefault="001763E8" w:rsidP="001763E8">
      <w:pPr>
        <w:keepNext/>
        <w:ind w:left="6480"/>
        <w:outlineLvl w:val="2"/>
        <w:rPr>
          <w:bCs/>
        </w:rPr>
      </w:pPr>
      <w:r>
        <w:rPr>
          <w:bCs/>
        </w:rPr>
        <w:t>2</w:t>
      </w:r>
      <w:r w:rsidRPr="00771FC2">
        <w:rPr>
          <w:bCs/>
        </w:rPr>
        <w:t xml:space="preserve"> priedas</w:t>
      </w:r>
    </w:p>
    <w:p w14:paraId="35A4B2E3" w14:textId="77777777" w:rsidR="001763E8" w:rsidRDefault="001763E8" w:rsidP="001763E8">
      <w:pPr>
        <w:keepNext/>
        <w:outlineLvl w:val="2"/>
        <w:rPr>
          <w:bCs/>
        </w:rPr>
      </w:pPr>
    </w:p>
    <w:p w14:paraId="33112AB9" w14:textId="62C3E0E9" w:rsidR="001763E8" w:rsidRPr="001763E8" w:rsidRDefault="001763E8" w:rsidP="001763E8">
      <w:pPr>
        <w:keepNext/>
        <w:jc w:val="center"/>
        <w:outlineLvl w:val="2"/>
        <w:rPr>
          <w:b/>
        </w:rPr>
      </w:pPr>
      <w:r w:rsidRPr="001763E8">
        <w:rPr>
          <w:b/>
        </w:rPr>
        <w:t>KVALIFIKACIJOS REIKALAVIMAI</w:t>
      </w:r>
    </w:p>
    <w:bookmarkEnd w:id="0"/>
    <w:bookmarkEnd w:id="1"/>
    <w:p w14:paraId="41CEDEE6" w14:textId="77777777" w:rsidR="004850CD" w:rsidRDefault="004850CD"/>
    <w:tbl>
      <w:tblPr>
        <w:tblStyle w:val="TableGrid"/>
        <w:tblW w:w="9506" w:type="dxa"/>
        <w:tblLook w:val="04A0" w:firstRow="1" w:lastRow="0" w:firstColumn="1" w:lastColumn="0" w:noHBand="0" w:noVBand="1"/>
      </w:tblPr>
      <w:tblGrid>
        <w:gridCol w:w="606"/>
        <w:gridCol w:w="4643"/>
        <w:gridCol w:w="4257"/>
      </w:tblGrid>
      <w:tr w:rsidR="001763E8" w:rsidRPr="00791D28" w14:paraId="2D84EDAC" w14:textId="77777777" w:rsidTr="001763E8">
        <w:trPr>
          <w:cantSplit/>
          <w:trHeight w:val="553"/>
          <w:tblHeader/>
        </w:trPr>
        <w:tc>
          <w:tcPr>
            <w:tcW w:w="606" w:type="dxa"/>
            <w:shd w:val="clear" w:color="auto" w:fill="A6A6A6" w:themeFill="background1" w:themeFillShade="A6"/>
            <w:vAlign w:val="center"/>
          </w:tcPr>
          <w:p w14:paraId="6B7ACFA4" w14:textId="77777777" w:rsidR="001763E8" w:rsidRPr="00791D28" w:rsidRDefault="001763E8" w:rsidP="006D7E1B">
            <w:pPr>
              <w:rPr>
                <w:b/>
                <w:sz w:val="24"/>
                <w:szCs w:val="24"/>
              </w:rPr>
            </w:pPr>
            <w:r w:rsidRPr="00791D28">
              <w:rPr>
                <w:b/>
                <w:sz w:val="24"/>
                <w:szCs w:val="24"/>
              </w:rPr>
              <w:t>Eil. Nr.</w:t>
            </w:r>
          </w:p>
        </w:tc>
        <w:tc>
          <w:tcPr>
            <w:tcW w:w="4643" w:type="dxa"/>
            <w:shd w:val="clear" w:color="auto" w:fill="A6A6A6" w:themeFill="background1" w:themeFillShade="A6"/>
            <w:vAlign w:val="center"/>
          </w:tcPr>
          <w:p w14:paraId="617CAF8D" w14:textId="77777777" w:rsidR="001763E8" w:rsidRPr="00791D28" w:rsidRDefault="001763E8" w:rsidP="006D7E1B">
            <w:pPr>
              <w:rPr>
                <w:b/>
                <w:sz w:val="24"/>
                <w:szCs w:val="24"/>
              </w:rPr>
            </w:pPr>
            <w:r w:rsidRPr="00791D28">
              <w:rPr>
                <w:b/>
                <w:sz w:val="24"/>
                <w:szCs w:val="24"/>
              </w:rPr>
              <w:t>Kvalifikacijos reikalavimai</w:t>
            </w:r>
          </w:p>
        </w:tc>
        <w:tc>
          <w:tcPr>
            <w:tcW w:w="4256" w:type="dxa"/>
            <w:shd w:val="clear" w:color="auto" w:fill="A6A6A6" w:themeFill="background1" w:themeFillShade="A6"/>
            <w:vAlign w:val="center"/>
          </w:tcPr>
          <w:p w14:paraId="0767A07F" w14:textId="77777777" w:rsidR="001763E8" w:rsidRPr="00791D28" w:rsidRDefault="001763E8" w:rsidP="006D7E1B">
            <w:pPr>
              <w:rPr>
                <w:b/>
                <w:sz w:val="24"/>
                <w:szCs w:val="24"/>
              </w:rPr>
            </w:pPr>
            <w:r w:rsidRPr="00791D28">
              <w:rPr>
                <w:b/>
                <w:sz w:val="24"/>
                <w:szCs w:val="24"/>
              </w:rPr>
              <w:t>Patvirtinančių dokumentų sąrašas</w:t>
            </w:r>
          </w:p>
        </w:tc>
      </w:tr>
      <w:tr w:rsidR="001763E8" w:rsidRPr="00791D28" w14:paraId="64B493CB" w14:textId="77777777" w:rsidTr="001763E8">
        <w:trPr>
          <w:trHeight w:val="268"/>
        </w:trPr>
        <w:tc>
          <w:tcPr>
            <w:tcW w:w="9506" w:type="dxa"/>
            <w:gridSpan w:val="3"/>
          </w:tcPr>
          <w:p w14:paraId="5F9EA88A" w14:textId="77777777" w:rsidR="001763E8" w:rsidRPr="00791D28" w:rsidRDefault="001763E8" w:rsidP="006D7E1B">
            <w:pPr>
              <w:jc w:val="center"/>
              <w:rPr>
                <w:b/>
                <w:i/>
                <w:sz w:val="24"/>
                <w:szCs w:val="24"/>
              </w:rPr>
            </w:pPr>
            <w:r w:rsidRPr="00791D28">
              <w:rPr>
                <w:b/>
                <w:i/>
                <w:sz w:val="24"/>
                <w:szCs w:val="24"/>
              </w:rPr>
              <w:t>Techninio ir profesinio pajėgumo reikalavimai</w:t>
            </w:r>
          </w:p>
        </w:tc>
      </w:tr>
      <w:tr w:rsidR="001763E8" w:rsidRPr="00791D28" w14:paraId="2355EFE1" w14:textId="77777777" w:rsidTr="001763E8">
        <w:trPr>
          <w:trHeight w:val="2746"/>
        </w:trPr>
        <w:tc>
          <w:tcPr>
            <w:tcW w:w="606" w:type="dxa"/>
          </w:tcPr>
          <w:p w14:paraId="7E96AE88" w14:textId="599A866C" w:rsidR="001763E8" w:rsidRPr="00791D28" w:rsidRDefault="001763E8" w:rsidP="006D7E1B">
            <w:pPr>
              <w:rPr>
                <w:sz w:val="24"/>
                <w:szCs w:val="24"/>
              </w:rPr>
            </w:pPr>
            <w:r>
              <w:rPr>
                <w:sz w:val="24"/>
                <w:szCs w:val="24"/>
              </w:rPr>
              <w:t>1</w:t>
            </w:r>
            <w:r w:rsidRPr="00791D28">
              <w:rPr>
                <w:sz w:val="24"/>
                <w:szCs w:val="24"/>
              </w:rPr>
              <w:t>.</w:t>
            </w:r>
          </w:p>
        </w:tc>
        <w:tc>
          <w:tcPr>
            <w:tcW w:w="4643" w:type="dxa"/>
          </w:tcPr>
          <w:p w14:paraId="75B284CC" w14:textId="77777777" w:rsidR="001763E8" w:rsidRPr="00791D28" w:rsidRDefault="001763E8" w:rsidP="006D7E1B">
            <w:pPr>
              <w:pStyle w:val="BodyText"/>
              <w:ind w:firstLine="0"/>
              <w:rPr>
                <w:sz w:val="24"/>
                <w:szCs w:val="24"/>
              </w:rPr>
            </w:pPr>
            <w:r w:rsidRPr="00791D28">
              <w:rPr>
                <w:sz w:val="24"/>
                <w:szCs w:val="24"/>
              </w:rPr>
              <w:t>Tiekėjas</w:t>
            </w:r>
            <w:r>
              <w:rPr>
                <w:sz w:val="24"/>
                <w:szCs w:val="24"/>
              </w:rPr>
              <w:t xml:space="preserve">, </w:t>
            </w:r>
            <w:r w:rsidRPr="00275579">
              <w:rPr>
                <w:sz w:val="24"/>
                <w:szCs w:val="24"/>
              </w:rPr>
              <w:t xml:space="preserve">tiekėjų grupės partneriai kartu, </w:t>
            </w:r>
            <w:r w:rsidRPr="00791D28">
              <w:rPr>
                <w:sz w:val="24"/>
                <w:szCs w:val="24"/>
              </w:rPr>
              <w:t>per paskutinius 3 (trejus) metus arba per laiką nuo teikėjo įregistravimo dienos (jeigu teikėjas vykdė veiklą trumpiau nei 3 (trejus) metus) yra sėkmingai įvykdęs arba šiuo metu vykdo bent vieną panašią sutartį, kurios objektas – informacinių sistemų žurnalinių įrašų saugojimo ir koreliacijos sistemos priežiūra ir/arba vystymas, veikiančios FORTINET FORTISIEM platformoje (kaip ir Perkančiosios organizacijos naudojama sistema)</w:t>
            </w:r>
            <w:r>
              <w:rPr>
                <w:sz w:val="24"/>
                <w:szCs w:val="24"/>
              </w:rPr>
              <w:t xml:space="preserve"> arba lygiavertėje</w:t>
            </w:r>
            <w:r w:rsidRPr="00791D28">
              <w:rPr>
                <w:sz w:val="24"/>
                <w:szCs w:val="24"/>
              </w:rPr>
              <w:t xml:space="preserve">, o įvykdytos arba vykdomos sutarties įvykdytos paslaugų dalies vertė ne mažesnė kaip 28 000 EUR (dvidešimt aštuoni tūkstančiai eurų) </w:t>
            </w:r>
            <w:r>
              <w:rPr>
                <w:sz w:val="24"/>
                <w:szCs w:val="24"/>
              </w:rPr>
              <w:t>be</w:t>
            </w:r>
            <w:r w:rsidRPr="00791D28">
              <w:rPr>
                <w:sz w:val="24"/>
                <w:szCs w:val="24"/>
              </w:rPr>
              <w:t xml:space="preserve"> PVM.</w:t>
            </w:r>
            <w:r w:rsidRPr="00791D28">
              <w:rPr>
                <w:sz w:val="24"/>
                <w:szCs w:val="24"/>
              </w:rPr>
              <w:tab/>
            </w:r>
          </w:p>
        </w:tc>
        <w:tc>
          <w:tcPr>
            <w:tcW w:w="4256" w:type="dxa"/>
          </w:tcPr>
          <w:p w14:paraId="5C9D8DCE" w14:textId="77777777" w:rsidR="001763E8" w:rsidRPr="00791D28" w:rsidRDefault="001763E8" w:rsidP="006D7E1B">
            <w:pPr>
              <w:rPr>
                <w:sz w:val="24"/>
                <w:szCs w:val="24"/>
              </w:rPr>
            </w:pPr>
            <w:r w:rsidRPr="00791D28">
              <w:rPr>
                <w:sz w:val="24"/>
                <w:szCs w:val="24"/>
              </w:rPr>
              <w:t>Įvykdytų/vykdomų sutarčių sąrašas, kuriame pateikiamas trumpas sutarčių aprašymas, nurodant paslaugų esmę, sumą, paslaugų gavėją, paslaugų teikimo vietą ir terminą. Taip pat turi būti pateikta bent viena paslaugų gavėjo pažyma, patvirtinanti, kad paslaugos buvo suteiktos tinkamai.</w:t>
            </w:r>
          </w:p>
        </w:tc>
      </w:tr>
      <w:tr w:rsidR="001763E8" w:rsidRPr="00791D28" w14:paraId="47992D71" w14:textId="77777777" w:rsidTr="001763E8">
        <w:trPr>
          <w:trHeight w:val="2210"/>
        </w:trPr>
        <w:tc>
          <w:tcPr>
            <w:tcW w:w="606" w:type="dxa"/>
          </w:tcPr>
          <w:p w14:paraId="32E04EA0" w14:textId="07D427CF" w:rsidR="001763E8" w:rsidRPr="00791D28" w:rsidRDefault="001763E8" w:rsidP="006D7E1B">
            <w:pPr>
              <w:rPr>
                <w:sz w:val="24"/>
                <w:szCs w:val="24"/>
              </w:rPr>
            </w:pPr>
            <w:r>
              <w:rPr>
                <w:sz w:val="24"/>
                <w:szCs w:val="24"/>
              </w:rPr>
              <w:t>2</w:t>
            </w:r>
            <w:r w:rsidRPr="00791D28">
              <w:rPr>
                <w:sz w:val="24"/>
                <w:szCs w:val="24"/>
              </w:rPr>
              <w:t>.</w:t>
            </w:r>
          </w:p>
        </w:tc>
        <w:tc>
          <w:tcPr>
            <w:tcW w:w="4643" w:type="dxa"/>
          </w:tcPr>
          <w:p w14:paraId="62351954" w14:textId="77777777" w:rsidR="001763E8" w:rsidRPr="00791D28" w:rsidRDefault="001763E8" w:rsidP="006D7E1B">
            <w:pPr>
              <w:rPr>
                <w:sz w:val="24"/>
                <w:szCs w:val="24"/>
              </w:rPr>
            </w:pPr>
            <w:r w:rsidRPr="00791D28">
              <w:rPr>
                <w:sz w:val="24"/>
                <w:szCs w:val="24"/>
              </w:rPr>
              <w:t>Tiekėjas, tiekėjų grupės partneriai kartu, su</w:t>
            </w:r>
            <w:r>
              <w:rPr>
                <w:sz w:val="24"/>
                <w:szCs w:val="24"/>
              </w:rPr>
              <w:t>b</w:t>
            </w:r>
            <w:r w:rsidRPr="00791D28">
              <w:rPr>
                <w:sz w:val="24"/>
                <w:szCs w:val="24"/>
              </w:rPr>
              <w:t>teikėjai, kurių pajėgumais remiasi tiekėjas, turi užtikrinti, kad paslaugas teiks kvalifikuoti specialistai, kurių kvalifikacija patvirtinta Pirkimo sąlygų 30.</w:t>
            </w:r>
            <w:r>
              <w:rPr>
                <w:sz w:val="24"/>
                <w:szCs w:val="24"/>
              </w:rPr>
              <w:t>2</w:t>
            </w:r>
            <w:r w:rsidRPr="00791D28">
              <w:rPr>
                <w:sz w:val="24"/>
                <w:szCs w:val="24"/>
              </w:rPr>
              <w:t>.1-30.</w:t>
            </w:r>
            <w:r>
              <w:rPr>
                <w:sz w:val="24"/>
                <w:szCs w:val="24"/>
              </w:rPr>
              <w:t>2</w:t>
            </w:r>
            <w:r w:rsidRPr="00791D28">
              <w:rPr>
                <w:sz w:val="24"/>
                <w:szCs w:val="24"/>
              </w:rPr>
              <w:t xml:space="preserve">.2 papunkčiuose išvardytais dokumentais bei profesine patirtimi. </w:t>
            </w:r>
          </w:p>
          <w:p w14:paraId="2A19971D" w14:textId="77777777" w:rsidR="001763E8" w:rsidRDefault="001763E8" w:rsidP="006D7E1B">
            <w:pPr>
              <w:rPr>
                <w:sz w:val="24"/>
                <w:szCs w:val="24"/>
              </w:rPr>
            </w:pPr>
            <w:r w:rsidRPr="00791D28">
              <w:rPr>
                <w:sz w:val="24"/>
                <w:szCs w:val="24"/>
              </w:rPr>
              <w:t>Taip pat tiekėjas turi užtikrinti, kad paslaugos perkančiajai organizacijai bus teikiamos lietuvių kalba arba bus užtikrintas tinkamas vertimas į lietuvių kalbą.</w:t>
            </w:r>
          </w:p>
          <w:p w14:paraId="32C70715" w14:textId="77777777" w:rsidR="001763E8" w:rsidRPr="00E12A72" w:rsidRDefault="001763E8" w:rsidP="006D7E1B">
            <w:pPr>
              <w:rPr>
                <w:b/>
                <w:bCs/>
                <w:i/>
                <w:iCs/>
                <w:sz w:val="24"/>
                <w:szCs w:val="24"/>
              </w:rPr>
            </w:pPr>
            <w:r w:rsidRPr="00E12A72">
              <w:rPr>
                <w:b/>
                <w:bCs/>
                <w:i/>
                <w:iCs/>
                <w:sz w:val="24"/>
                <w:szCs w:val="24"/>
              </w:rPr>
              <w:t>Tas pats specialistas gali būti siūlomas daugiau nei vienai pozicijai.</w:t>
            </w:r>
          </w:p>
        </w:tc>
        <w:tc>
          <w:tcPr>
            <w:tcW w:w="4256" w:type="dxa"/>
          </w:tcPr>
          <w:p w14:paraId="1867786A" w14:textId="77777777" w:rsidR="001763E8" w:rsidRPr="00791D28" w:rsidRDefault="001763E8" w:rsidP="001763E8">
            <w:pPr>
              <w:pStyle w:val="ListParagraph"/>
              <w:numPr>
                <w:ilvl w:val="0"/>
                <w:numId w:val="1"/>
              </w:numPr>
              <w:tabs>
                <w:tab w:val="left" w:pos="312"/>
              </w:tabs>
              <w:ind w:left="0" w:firstLine="0"/>
              <w:rPr>
                <w:sz w:val="24"/>
                <w:szCs w:val="24"/>
              </w:rPr>
            </w:pPr>
            <w:r w:rsidRPr="00791D28">
              <w:rPr>
                <w:sz w:val="24"/>
                <w:szCs w:val="24"/>
              </w:rPr>
              <w:t>Paslaugas teiksiančių specialistų sąrašas, nurodant vardą, pavardę ir pareigybę teikiant paslaugas.</w:t>
            </w:r>
          </w:p>
          <w:p w14:paraId="54832E6F" w14:textId="77777777" w:rsidR="001763E8" w:rsidRPr="00791D28" w:rsidRDefault="001763E8" w:rsidP="001763E8">
            <w:pPr>
              <w:pStyle w:val="ListParagraph"/>
              <w:numPr>
                <w:ilvl w:val="0"/>
                <w:numId w:val="1"/>
              </w:numPr>
              <w:tabs>
                <w:tab w:val="left" w:pos="312"/>
              </w:tabs>
              <w:ind w:left="0" w:firstLine="0"/>
              <w:rPr>
                <w:sz w:val="24"/>
                <w:szCs w:val="24"/>
              </w:rPr>
            </w:pPr>
            <w:r w:rsidRPr="00791D28">
              <w:rPr>
                <w:sz w:val="24"/>
                <w:szCs w:val="24"/>
              </w:rPr>
              <w:t>Patvirtinimas, kad paslaugos perkančiajai organizacijai bus teikiamos lietuvių kalba arba bus užtikrintas tinkamas vertimas į lietuvių kalbą.</w:t>
            </w:r>
          </w:p>
        </w:tc>
      </w:tr>
      <w:tr w:rsidR="001763E8" w:rsidRPr="00791D28" w14:paraId="3F743393" w14:textId="77777777" w:rsidTr="001763E8">
        <w:trPr>
          <w:trHeight w:val="2746"/>
        </w:trPr>
        <w:tc>
          <w:tcPr>
            <w:tcW w:w="606" w:type="dxa"/>
          </w:tcPr>
          <w:p w14:paraId="5A712F13" w14:textId="4C2CC1BE" w:rsidR="001763E8" w:rsidRPr="00791D28" w:rsidRDefault="001763E8" w:rsidP="006D7E1B">
            <w:pPr>
              <w:rPr>
                <w:sz w:val="24"/>
                <w:szCs w:val="24"/>
              </w:rPr>
            </w:pPr>
            <w:r>
              <w:rPr>
                <w:sz w:val="24"/>
                <w:szCs w:val="24"/>
              </w:rPr>
              <w:t>2</w:t>
            </w:r>
            <w:r w:rsidRPr="00791D28">
              <w:rPr>
                <w:sz w:val="24"/>
                <w:szCs w:val="24"/>
              </w:rPr>
              <w:t>.1.</w:t>
            </w:r>
          </w:p>
        </w:tc>
        <w:tc>
          <w:tcPr>
            <w:tcW w:w="4643" w:type="dxa"/>
          </w:tcPr>
          <w:p w14:paraId="4327E2BD" w14:textId="77777777" w:rsidR="001763E8" w:rsidRPr="00791D28" w:rsidRDefault="001763E8" w:rsidP="006D7E1B">
            <w:pPr>
              <w:rPr>
                <w:bCs/>
                <w:sz w:val="24"/>
                <w:szCs w:val="24"/>
              </w:rPr>
            </w:pPr>
            <w:r w:rsidRPr="00791D28">
              <w:rPr>
                <w:sz w:val="24"/>
                <w:szCs w:val="24"/>
              </w:rPr>
              <w:t>Bent 1 (vienas)</w:t>
            </w:r>
            <w:r w:rsidRPr="00791D28">
              <w:rPr>
                <w:bCs/>
                <w:sz w:val="24"/>
                <w:szCs w:val="24"/>
              </w:rPr>
              <w:t xml:space="preserve"> </w:t>
            </w:r>
            <w:r w:rsidRPr="00791D28">
              <w:rPr>
                <w:b/>
                <w:sz w:val="24"/>
                <w:szCs w:val="24"/>
              </w:rPr>
              <w:t xml:space="preserve">kvalifikuotas paslaugų valdymo vadovas, </w:t>
            </w:r>
            <w:r w:rsidRPr="00791D28">
              <w:rPr>
                <w:bCs/>
                <w:sz w:val="24"/>
                <w:szCs w:val="24"/>
              </w:rPr>
              <w:t>turintis:</w:t>
            </w:r>
          </w:p>
          <w:p w14:paraId="6C3249A5" w14:textId="77777777" w:rsidR="001763E8" w:rsidRPr="00791D28" w:rsidRDefault="001763E8" w:rsidP="006D7E1B">
            <w:pPr>
              <w:rPr>
                <w:bCs/>
                <w:sz w:val="24"/>
                <w:szCs w:val="24"/>
              </w:rPr>
            </w:pPr>
            <w:r w:rsidRPr="00791D28">
              <w:rPr>
                <w:bCs/>
                <w:sz w:val="24"/>
                <w:szCs w:val="24"/>
              </w:rPr>
              <w:t>1) PMP („Project Management Professional“) ar „Prince2 Practitioner“, arba lygiavertės projektų valdymo srities kvalifikaciją;</w:t>
            </w:r>
          </w:p>
          <w:p w14:paraId="604028BD" w14:textId="77777777" w:rsidR="001763E8" w:rsidRPr="00791D28" w:rsidRDefault="001763E8" w:rsidP="006D7E1B">
            <w:pPr>
              <w:pStyle w:val="BodyText"/>
              <w:tabs>
                <w:tab w:val="left" w:pos="347"/>
              </w:tabs>
              <w:ind w:firstLine="0"/>
              <w:rPr>
                <w:sz w:val="24"/>
                <w:szCs w:val="24"/>
              </w:rPr>
            </w:pPr>
            <w:r w:rsidRPr="00791D28">
              <w:rPr>
                <w:bCs/>
                <w:sz w:val="24"/>
                <w:szCs w:val="24"/>
              </w:rPr>
              <w:t>2) ne mažesnę kaip 1 (vienerių) metų profesinę patirtį informacinių sistemų kūrimo ir/arba diegimo, ir/arba priežiūros (toliau – IT) srityje.</w:t>
            </w:r>
          </w:p>
        </w:tc>
        <w:tc>
          <w:tcPr>
            <w:tcW w:w="4256" w:type="dxa"/>
          </w:tcPr>
          <w:p w14:paraId="1867C6C9" w14:textId="77777777" w:rsidR="001763E8" w:rsidRPr="00791D28" w:rsidRDefault="001763E8" w:rsidP="001763E8">
            <w:pPr>
              <w:pStyle w:val="ListParagraph"/>
              <w:numPr>
                <w:ilvl w:val="0"/>
                <w:numId w:val="2"/>
              </w:numPr>
              <w:tabs>
                <w:tab w:val="left" w:pos="307"/>
              </w:tabs>
              <w:ind w:left="0" w:firstLine="0"/>
              <w:rPr>
                <w:sz w:val="24"/>
                <w:szCs w:val="24"/>
              </w:rPr>
            </w:pPr>
            <w:r w:rsidRPr="00791D28">
              <w:rPr>
                <w:sz w:val="24"/>
                <w:szCs w:val="24"/>
              </w:rPr>
              <w:t>Siūlomo specialisto gyvenimo aprašymas (CV), kuriame turi būti nurodoma: informacija apie reikalaujamą patirtį, pateikiant detalią informaciją apie vykdytas/vykdomas sutartis, nurodant sutarties objekto pavadinimą, objekto aprašymą, sutarčių vykdymo periodus ir užsakovus.</w:t>
            </w:r>
          </w:p>
          <w:p w14:paraId="6041C49D" w14:textId="77777777" w:rsidR="001763E8" w:rsidRPr="00791D28" w:rsidRDefault="001763E8" w:rsidP="001763E8">
            <w:pPr>
              <w:pStyle w:val="ListParagraph"/>
              <w:widowControl w:val="0"/>
              <w:numPr>
                <w:ilvl w:val="0"/>
                <w:numId w:val="2"/>
              </w:numPr>
              <w:tabs>
                <w:tab w:val="left" w:pos="384"/>
                <w:tab w:val="left" w:pos="540"/>
                <w:tab w:val="left" w:pos="720"/>
              </w:tabs>
              <w:ind w:left="0" w:firstLine="13"/>
              <w:rPr>
                <w:sz w:val="24"/>
                <w:szCs w:val="24"/>
              </w:rPr>
            </w:pPr>
            <w:r w:rsidRPr="00791D28">
              <w:rPr>
                <w:sz w:val="24"/>
                <w:szCs w:val="24"/>
              </w:rPr>
              <w:t>PMP („Project Management Professional“) sertifikatas ar „Prince2 Practioner“ sertifikatas ar lygiavertis dokumentas (čia ir toliau minimo „lygiaverčio dokumento“ lygiavertiškumą įrodyti turi tiekėjas).</w:t>
            </w:r>
          </w:p>
          <w:p w14:paraId="5620B2B2" w14:textId="77777777" w:rsidR="001763E8" w:rsidRPr="00791D28" w:rsidRDefault="001763E8" w:rsidP="006D7E1B">
            <w:pPr>
              <w:tabs>
                <w:tab w:val="left" w:pos="307"/>
              </w:tabs>
              <w:rPr>
                <w:sz w:val="24"/>
                <w:szCs w:val="24"/>
              </w:rPr>
            </w:pPr>
            <w:r w:rsidRPr="00791D28">
              <w:rPr>
                <w:i/>
                <w:iCs/>
                <w:sz w:val="24"/>
                <w:szCs w:val="24"/>
              </w:rPr>
              <w:lastRenderedPageBreak/>
              <w:t>Mokymo kursų išklausymo pažymėjimai nevertinami.</w:t>
            </w:r>
          </w:p>
        </w:tc>
      </w:tr>
      <w:tr w:rsidR="001763E8" w:rsidRPr="00791D28" w14:paraId="41C3EB57" w14:textId="77777777" w:rsidTr="001763E8">
        <w:trPr>
          <w:trHeight w:val="2461"/>
        </w:trPr>
        <w:tc>
          <w:tcPr>
            <w:tcW w:w="606" w:type="dxa"/>
          </w:tcPr>
          <w:p w14:paraId="67EB713B" w14:textId="4038F205" w:rsidR="001763E8" w:rsidRPr="00791D28" w:rsidRDefault="001763E8" w:rsidP="006D7E1B">
            <w:pPr>
              <w:rPr>
                <w:sz w:val="24"/>
                <w:szCs w:val="24"/>
              </w:rPr>
            </w:pPr>
            <w:r w:rsidRPr="00791D28">
              <w:rPr>
                <w:sz w:val="24"/>
                <w:szCs w:val="24"/>
              </w:rPr>
              <w:lastRenderedPageBreak/>
              <w:t>2.2.</w:t>
            </w:r>
          </w:p>
        </w:tc>
        <w:tc>
          <w:tcPr>
            <w:tcW w:w="4643" w:type="dxa"/>
          </w:tcPr>
          <w:p w14:paraId="4E63D4AD" w14:textId="77777777" w:rsidR="001763E8" w:rsidRPr="00791D28" w:rsidRDefault="001763E8" w:rsidP="006D7E1B">
            <w:pPr>
              <w:rPr>
                <w:bCs/>
                <w:sz w:val="24"/>
                <w:szCs w:val="24"/>
              </w:rPr>
            </w:pPr>
            <w:r w:rsidRPr="00791D28">
              <w:rPr>
                <w:sz w:val="24"/>
                <w:szCs w:val="24"/>
              </w:rPr>
              <w:t xml:space="preserve">Bent 1 (vienas) </w:t>
            </w:r>
            <w:r w:rsidRPr="00791D28">
              <w:rPr>
                <w:bCs/>
                <w:sz w:val="24"/>
                <w:szCs w:val="24"/>
              </w:rPr>
              <w:t>kvalifikuotas informacinių sistemų žurnalinių įrašų saugojimo ir koreliacijos sistemų</w:t>
            </w:r>
            <w:r w:rsidRPr="00791D28">
              <w:rPr>
                <w:b/>
                <w:sz w:val="24"/>
                <w:szCs w:val="24"/>
              </w:rPr>
              <w:t xml:space="preserve"> ekspertas, </w:t>
            </w:r>
            <w:r w:rsidRPr="00791D28">
              <w:rPr>
                <w:bCs/>
                <w:sz w:val="24"/>
                <w:szCs w:val="24"/>
              </w:rPr>
              <w:t>turintis:</w:t>
            </w:r>
          </w:p>
          <w:p w14:paraId="66E2CE6E" w14:textId="77777777" w:rsidR="001763E8" w:rsidRPr="00791D28" w:rsidRDefault="001763E8" w:rsidP="006D7E1B">
            <w:pPr>
              <w:rPr>
                <w:bCs/>
                <w:sz w:val="24"/>
                <w:szCs w:val="24"/>
              </w:rPr>
            </w:pPr>
            <w:r w:rsidRPr="00791D28">
              <w:rPr>
                <w:bCs/>
                <w:sz w:val="24"/>
                <w:szCs w:val="24"/>
              </w:rPr>
              <w:t>1</w:t>
            </w:r>
            <w:r>
              <w:rPr>
                <w:bCs/>
                <w:sz w:val="24"/>
                <w:szCs w:val="24"/>
              </w:rPr>
              <w:t xml:space="preserve">) </w:t>
            </w:r>
            <w:r w:rsidRPr="00791D28">
              <w:rPr>
                <w:bCs/>
                <w:sz w:val="24"/>
                <w:szCs w:val="24"/>
              </w:rPr>
              <w:t>Perkančiosios organizacijos turimos informacinių sistemų žurnalinių įrašų saugojimo ir koreliacijos sistemos (nurodyta 3 priede „Informacinių sistemų žurnalinių įrašų saugojimo ir koreliacijos sistemos aprašymas) gamintojo patvirtintą eksperto kvalifikaciją;</w:t>
            </w:r>
          </w:p>
          <w:p w14:paraId="26164D25" w14:textId="77777777" w:rsidR="001763E8" w:rsidRPr="00791D28" w:rsidRDefault="001763E8" w:rsidP="006D7E1B">
            <w:pPr>
              <w:rPr>
                <w:sz w:val="24"/>
                <w:szCs w:val="24"/>
              </w:rPr>
            </w:pPr>
            <w:r w:rsidRPr="00791D28">
              <w:rPr>
                <w:bCs/>
                <w:sz w:val="24"/>
                <w:szCs w:val="24"/>
              </w:rPr>
              <w:t>2</w:t>
            </w:r>
            <w:r>
              <w:rPr>
                <w:bCs/>
                <w:sz w:val="24"/>
                <w:szCs w:val="24"/>
              </w:rPr>
              <w:t>) n</w:t>
            </w:r>
            <w:r w:rsidRPr="00791D28">
              <w:rPr>
                <w:bCs/>
                <w:sz w:val="24"/>
                <w:szCs w:val="24"/>
              </w:rPr>
              <w:t>e mažesnę nei 1 (vienerių) metų patirtį informacinių sistemų žurnalinių įrašų saugojimo ir koreliacijos sistemų projektavimo ir diegimo srityje.</w:t>
            </w:r>
          </w:p>
        </w:tc>
        <w:tc>
          <w:tcPr>
            <w:tcW w:w="4256" w:type="dxa"/>
          </w:tcPr>
          <w:p w14:paraId="409A4F98" w14:textId="77777777" w:rsidR="001763E8" w:rsidRPr="00791D28" w:rsidRDefault="001763E8" w:rsidP="006D7E1B">
            <w:pPr>
              <w:tabs>
                <w:tab w:val="left" w:pos="307"/>
              </w:tabs>
              <w:rPr>
                <w:sz w:val="24"/>
                <w:szCs w:val="24"/>
              </w:rPr>
            </w:pPr>
            <w:r w:rsidRPr="00791D28">
              <w:rPr>
                <w:sz w:val="24"/>
                <w:szCs w:val="24"/>
              </w:rPr>
              <w:t>1) Siūlomo specialisto gyvenimo aprašymas (CV), kuriame turi būti nurodoma: informacija apie reikalaujamą patirtį, pateikiant detalią informaciją apie vykdytas/vykdomas sutartis, nurodant sutarties objekto pavadinimą, objekto aprašymą, sutarčių vykdymo periodus ir užsakovus.</w:t>
            </w:r>
          </w:p>
          <w:p w14:paraId="7AEC5B2C" w14:textId="77777777" w:rsidR="001763E8" w:rsidRPr="00791D28" w:rsidRDefault="001763E8" w:rsidP="006D7E1B">
            <w:pPr>
              <w:widowControl w:val="0"/>
              <w:tabs>
                <w:tab w:val="left" w:pos="540"/>
                <w:tab w:val="left" w:pos="720"/>
              </w:tabs>
              <w:rPr>
                <w:sz w:val="24"/>
                <w:szCs w:val="24"/>
              </w:rPr>
            </w:pPr>
            <w:r w:rsidRPr="00791D28">
              <w:rPr>
                <w:sz w:val="24"/>
                <w:szCs w:val="24"/>
              </w:rPr>
              <w:t>2) Patvirtinantis sertifikatas ar lygiavertis dokumentas.</w:t>
            </w:r>
          </w:p>
          <w:p w14:paraId="5872A8D5" w14:textId="77777777" w:rsidR="001763E8" w:rsidRPr="00791D28" w:rsidRDefault="001763E8" w:rsidP="006D7E1B">
            <w:pPr>
              <w:tabs>
                <w:tab w:val="left" w:pos="307"/>
              </w:tabs>
              <w:rPr>
                <w:sz w:val="24"/>
                <w:szCs w:val="24"/>
              </w:rPr>
            </w:pPr>
            <w:r w:rsidRPr="00791D28">
              <w:rPr>
                <w:i/>
                <w:iCs/>
                <w:sz w:val="24"/>
                <w:szCs w:val="24"/>
              </w:rPr>
              <w:t>Mokymo kursų išklausymo pažymėjimai nevertinami.</w:t>
            </w:r>
          </w:p>
        </w:tc>
      </w:tr>
    </w:tbl>
    <w:p w14:paraId="2DEBBB69" w14:textId="77777777" w:rsidR="001763E8" w:rsidRDefault="001763E8"/>
    <w:sectPr w:rsidR="001763E8" w:rsidSect="001763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DE0"/>
    <w:multiLevelType w:val="hybridMultilevel"/>
    <w:tmpl w:val="33B89EAA"/>
    <w:lvl w:ilvl="0" w:tplc="4FB6938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8270BD"/>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5458246">
    <w:abstractNumId w:val="0"/>
  </w:num>
  <w:num w:numId="2" w16cid:durableId="2103649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7C"/>
    <w:rsid w:val="001763E8"/>
    <w:rsid w:val="00474802"/>
    <w:rsid w:val="004850CD"/>
    <w:rsid w:val="0049067C"/>
    <w:rsid w:val="00497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F644E"/>
  <w15:chartTrackingRefBased/>
  <w15:docId w15:val="{6876BFB1-2D4C-43A3-A6C9-B1F4E37F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3E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90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6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6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6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6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67C"/>
    <w:rPr>
      <w:rFonts w:eastAsiaTheme="majorEastAsia" w:cstheme="majorBidi"/>
      <w:color w:val="272727" w:themeColor="text1" w:themeTint="D8"/>
    </w:rPr>
  </w:style>
  <w:style w:type="paragraph" w:styleId="Title">
    <w:name w:val="Title"/>
    <w:basedOn w:val="Normal"/>
    <w:next w:val="Normal"/>
    <w:link w:val="TitleChar"/>
    <w:uiPriority w:val="10"/>
    <w:qFormat/>
    <w:rsid w:val="004906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67C"/>
    <w:pPr>
      <w:spacing w:before="160"/>
      <w:jc w:val="center"/>
    </w:pPr>
    <w:rPr>
      <w:i/>
      <w:iCs/>
      <w:color w:val="404040" w:themeColor="text1" w:themeTint="BF"/>
    </w:rPr>
  </w:style>
  <w:style w:type="character" w:customStyle="1" w:styleId="QuoteChar">
    <w:name w:val="Quote Char"/>
    <w:basedOn w:val="DefaultParagraphFont"/>
    <w:link w:val="Quote"/>
    <w:uiPriority w:val="29"/>
    <w:rsid w:val="0049067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49067C"/>
    <w:pPr>
      <w:ind w:left="720"/>
      <w:contextualSpacing/>
    </w:pPr>
  </w:style>
  <w:style w:type="character" w:styleId="IntenseEmphasis">
    <w:name w:val="Intense Emphasis"/>
    <w:basedOn w:val="DefaultParagraphFont"/>
    <w:uiPriority w:val="21"/>
    <w:qFormat/>
    <w:rsid w:val="0049067C"/>
    <w:rPr>
      <w:i/>
      <w:iCs/>
      <w:color w:val="0F4761" w:themeColor="accent1" w:themeShade="BF"/>
    </w:rPr>
  </w:style>
  <w:style w:type="paragraph" w:styleId="IntenseQuote">
    <w:name w:val="Intense Quote"/>
    <w:basedOn w:val="Normal"/>
    <w:next w:val="Normal"/>
    <w:link w:val="IntenseQuoteChar"/>
    <w:uiPriority w:val="30"/>
    <w:qFormat/>
    <w:rsid w:val="00490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67C"/>
    <w:rPr>
      <w:i/>
      <w:iCs/>
      <w:color w:val="0F4761" w:themeColor="accent1" w:themeShade="BF"/>
    </w:rPr>
  </w:style>
  <w:style w:type="character" w:styleId="IntenseReference">
    <w:name w:val="Intense Reference"/>
    <w:basedOn w:val="DefaultParagraphFont"/>
    <w:uiPriority w:val="32"/>
    <w:qFormat/>
    <w:rsid w:val="0049067C"/>
    <w:rPr>
      <w:b/>
      <w:bCs/>
      <w:smallCaps/>
      <w:color w:val="0F4761" w:themeColor="accent1" w:themeShade="BF"/>
      <w:spacing w:val="5"/>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763E8"/>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763E8"/>
    <w:rPr>
      <w:rFonts w:ascii="Times New Roman" w:eastAsia="Times New Roman" w:hAnsi="Times New Roman" w:cs="Times New Roman"/>
      <w:kern w:val="0"/>
      <w:szCs w:val="20"/>
      <w14:ligatures w14:val="none"/>
    </w:rPr>
  </w:style>
  <w:style w:type="table" w:styleId="TableGrid">
    <w:name w:val="Table Grid"/>
    <w:basedOn w:val="TableNormal"/>
    <w:uiPriority w:val="39"/>
    <w:rsid w:val="001763E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176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2322</Words>
  <Characters>1324</Characters>
  <Application>Microsoft Office Word</Application>
  <DocSecurity>0</DocSecurity>
  <Lines>11</Lines>
  <Paragraphs>7</Paragraphs>
  <ScaleCrop>false</ScaleCrop>
  <Company>NMA</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Prakapavičiūtė</dc:creator>
  <cp:keywords/>
  <dc:description/>
  <cp:lastModifiedBy>Monika Prakapavičiūtė</cp:lastModifiedBy>
  <cp:revision>2</cp:revision>
  <dcterms:created xsi:type="dcterms:W3CDTF">2025-10-13T08:37:00Z</dcterms:created>
  <dcterms:modified xsi:type="dcterms:W3CDTF">2025-10-13T08:39:00Z</dcterms:modified>
</cp:coreProperties>
</file>