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8ECF14B" w:rsidR="00184B8C" w:rsidRPr="00976F3B" w:rsidRDefault="002052AD" w:rsidP="00B06320">
                    <w:pPr>
                      <w:pStyle w:val="Betarp"/>
                      <w:spacing w:line="216" w:lineRule="auto"/>
                      <w:rPr>
                        <w:rFonts w:ascii="Times New Roman" w:eastAsiaTheme="majorEastAsia" w:hAnsi="Times New Roman" w:cs="Times New Roman"/>
                        <w:color w:val="4472C4" w:themeColor="accent1"/>
                        <w:sz w:val="32"/>
                        <w:szCs w:val="32"/>
                        <w:lang w:val="lt-LT"/>
                      </w:rPr>
                    </w:pPr>
                    <w:r w:rsidRPr="002052AD">
                      <w:rPr>
                        <w:rFonts w:ascii="Times New Roman" w:eastAsia="TimesNewRomanPS-BoldMT" w:hAnsi="Times New Roman" w:cs="Times New Roman"/>
                        <w:b/>
                        <w:bCs/>
                        <w:caps/>
                        <w:sz w:val="24"/>
                        <w:szCs w:val="24"/>
                      </w:rPr>
                      <w:t>VIEŠOJO PIRKIMO „Pėsčiųjų ir dviračių takų Rokiškio miesto Pandėlio gatvėje kapitalinio remonto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FCC9" w14:textId="77777777" w:rsidR="00475E5C" w:rsidRDefault="00475E5C" w:rsidP="00184B8C">
      <w:pPr>
        <w:spacing w:after="0" w:line="240" w:lineRule="auto"/>
      </w:pPr>
      <w:r>
        <w:separator/>
      </w:r>
    </w:p>
  </w:endnote>
  <w:endnote w:type="continuationSeparator" w:id="0">
    <w:p w14:paraId="7A8E6BB0" w14:textId="77777777" w:rsidR="00475E5C" w:rsidRDefault="00475E5C" w:rsidP="00184B8C">
      <w:pPr>
        <w:spacing w:after="0" w:line="240" w:lineRule="auto"/>
      </w:pPr>
      <w:r>
        <w:continuationSeparator/>
      </w:r>
    </w:p>
  </w:endnote>
  <w:endnote w:type="continuationNotice" w:id="1">
    <w:p w14:paraId="02B38DCD" w14:textId="77777777" w:rsidR="00475E5C" w:rsidRDefault="00475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D6B2" w14:textId="77777777" w:rsidR="00475E5C" w:rsidRDefault="00475E5C" w:rsidP="00184B8C">
      <w:pPr>
        <w:spacing w:after="0" w:line="240" w:lineRule="auto"/>
      </w:pPr>
      <w:r>
        <w:separator/>
      </w:r>
    </w:p>
  </w:footnote>
  <w:footnote w:type="continuationSeparator" w:id="0">
    <w:p w14:paraId="5E6A847E" w14:textId="77777777" w:rsidR="00475E5C" w:rsidRDefault="00475E5C" w:rsidP="00184B8C">
      <w:pPr>
        <w:spacing w:after="0" w:line="240" w:lineRule="auto"/>
      </w:pPr>
      <w:r>
        <w:continuationSeparator/>
      </w:r>
    </w:p>
  </w:footnote>
  <w:footnote w:type="continuationNotice" w:id="1">
    <w:p w14:paraId="6E013A81" w14:textId="77777777" w:rsidR="00475E5C" w:rsidRDefault="00475E5C">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01B"/>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2A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3FC9"/>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0AF2"/>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5E5C"/>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3DFE"/>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4DB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376"/>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55"/>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003B5"/>
    <w:rsid w:val="001138CE"/>
    <w:rsid w:val="00133E8C"/>
    <w:rsid w:val="001434E1"/>
    <w:rsid w:val="00152BA7"/>
    <w:rsid w:val="00165F53"/>
    <w:rsid w:val="00197B23"/>
    <w:rsid w:val="001A142E"/>
    <w:rsid w:val="001A5316"/>
    <w:rsid w:val="001D701B"/>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10AF2"/>
    <w:rsid w:val="00311C7D"/>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D4DB9"/>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44631"/>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39980</Words>
  <Characters>22790</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„Pėsčiųjų ir dviračių takų Rokiškio miesto Pandėlio gatvėje kapitalinio remonto darbai“ ATVIRO KONKURSO BENDROSIOS SĄLYGOS</dc:title>
  <dc:subject/>
  <dc:creator>Dalia Bulovienė</dc:creator>
  <cp:keywords/>
  <dc:description/>
  <cp:lastModifiedBy>Dalia Bulovienė</cp:lastModifiedBy>
  <cp:revision>2</cp:revision>
  <dcterms:created xsi:type="dcterms:W3CDTF">2025-10-08T13:04:00Z</dcterms:created>
  <dcterms:modified xsi:type="dcterms:W3CDTF">2025-10-08T13:04:00Z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