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8B10D" w14:textId="5724A1DF" w:rsidR="00876D51" w:rsidRDefault="00876D51" w:rsidP="00876D51">
      <w:pPr>
        <w:jc w:val="center"/>
        <w:rPr>
          <w:rFonts w:eastAsia="Times New Roman" w:cs="Times New Roman"/>
          <w:b/>
          <w:bCs/>
          <w:kern w:val="0"/>
          <w:sz w:val="28"/>
          <w:szCs w:val="28"/>
          <w:lang w:eastAsia="lt-LT"/>
          <w14:ligatures w14:val="none"/>
        </w:rPr>
      </w:pPr>
      <w:r>
        <w:rPr>
          <w:rFonts w:eastAsia="Times New Roman" w:cs="Times New Roman"/>
          <w:b/>
          <w:bCs/>
          <w:kern w:val="0"/>
          <w:sz w:val="28"/>
          <w:szCs w:val="28"/>
          <w:lang w:eastAsia="lt-LT"/>
          <w14:ligatures w14:val="none"/>
        </w:rPr>
        <w:t>4</w:t>
      </w:r>
      <w:r w:rsidRPr="007D47E1">
        <w:rPr>
          <w:rFonts w:eastAsia="Times New Roman" w:cs="Times New Roman"/>
          <w:b/>
          <w:bCs/>
          <w:kern w:val="0"/>
          <w:sz w:val="28"/>
          <w:szCs w:val="28"/>
          <w:lang w:eastAsia="lt-LT"/>
          <w14:ligatures w14:val="none"/>
        </w:rPr>
        <w:t xml:space="preserve"> P. O. D. PASIŪLYMŲ VERTINIMO KRITERIJAI IR SĄLYGOS</w:t>
      </w:r>
    </w:p>
    <w:p w14:paraId="525F4EF8" w14:textId="77777777" w:rsidR="00944C94" w:rsidRPr="009F00EE" w:rsidRDefault="00944C94" w:rsidP="00944C94">
      <w:pPr>
        <w:rPr>
          <w:rFonts w:eastAsia="Times New Roman" w:cs="Times New Roman"/>
          <w:b/>
          <w:bCs/>
          <w:kern w:val="0"/>
          <w:sz w:val="28"/>
          <w:szCs w:val="28"/>
          <w:lang w:eastAsia="lt-LT"/>
          <w14:ligatures w14:val="none"/>
        </w:rPr>
      </w:pPr>
    </w:p>
    <w:p w14:paraId="2D654FBE" w14:textId="77777777" w:rsidR="00944C94" w:rsidRPr="009F00EE" w:rsidRDefault="00944C94" w:rsidP="00944C94">
      <w:pPr>
        <w:rPr>
          <w:rFonts w:eastAsia="Times New Roman" w:cs="Times New Roman"/>
          <w:kern w:val="0"/>
          <w:szCs w:val="24"/>
          <w:lang w:eastAsia="lt-LT"/>
          <w14:ligatures w14:val="none"/>
        </w:rPr>
      </w:pPr>
      <w:r w:rsidRPr="009F00EE">
        <w:rPr>
          <w:rFonts w:eastAsia="Times New Roman" w:cs="Times New Roman"/>
          <w:kern w:val="0"/>
          <w:szCs w:val="24"/>
          <w:lang w:eastAsia="lt-LT"/>
          <w14:ligatures w14:val="none"/>
        </w:rPr>
        <w:t>1. Ekonomiškai naudingiausią pasiūlymą perkančioji organizacija išrenka pagal kainą ir kokybę.</w:t>
      </w:r>
    </w:p>
    <w:p w14:paraId="22B10916" w14:textId="77777777" w:rsidR="00944C94" w:rsidRPr="009F00EE" w:rsidRDefault="00944C94" w:rsidP="00944C94">
      <w:pPr>
        <w:rPr>
          <w:rFonts w:eastAsia="Times New Roman" w:cs="Times New Roman"/>
          <w:kern w:val="0"/>
          <w:szCs w:val="24"/>
          <w:lang w:eastAsia="lt-LT"/>
          <w14:ligatures w14:val="none"/>
        </w:rPr>
      </w:pPr>
      <w:r w:rsidRPr="009F00EE">
        <w:rPr>
          <w:rFonts w:eastAsia="Times New Roman" w:cs="Times New Roman"/>
          <w:kern w:val="0"/>
          <w:szCs w:val="24"/>
          <w:lang w:eastAsia="lt-LT"/>
          <w14:ligatures w14:val="none"/>
        </w:rPr>
        <w:t xml:space="preserve">2. Ekonomiškai naudingiausias pasiūlymas - tai </w:t>
      </w:r>
      <w:proofErr w:type="spellStart"/>
      <w:r w:rsidRPr="009F00EE">
        <w:rPr>
          <w:rFonts w:eastAsia="Times New Roman" w:cs="Times New Roman"/>
          <w:kern w:val="0"/>
          <w:szCs w:val="24"/>
          <w:lang w:eastAsia="lt-LT"/>
          <w14:ligatures w14:val="none"/>
        </w:rPr>
        <w:t>pasiūlymas</w:t>
      </w:r>
      <w:proofErr w:type="spellEnd"/>
      <w:r w:rsidRPr="009F00EE">
        <w:rPr>
          <w:rFonts w:eastAsia="Times New Roman" w:cs="Times New Roman"/>
          <w:kern w:val="0"/>
          <w:szCs w:val="24"/>
          <w:lang w:eastAsia="lt-LT"/>
          <w14:ligatures w14:val="none"/>
        </w:rPr>
        <w:t xml:space="preserve">, kurio balų suma, </w:t>
      </w:r>
      <w:proofErr w:type="spellStart"/>
      <w:r w:rsidRPr="009F00EE">
        <w:rPr>
          <w:rFonts w:eastAsia="Times New Roman" w:cs="Times New Roman"/>
          <w:kern w:val="0"/>
          <w:szCs w:val="24"/>
          <w:lang w:eastAsia="lt-LT"/>
          <w14:ligatures w14:val="none"/>
        </w:rPr>
        <w:t>apskaičiuota</w:t>
      </w:r>
      <w:proofErr w:type="spellEnd"/>
      <w:r w:rsidRPr="009F00EE">
        <w:rPr>
          <w:rFonts w:eastAsia="Times New Roman" w:cs="Times New Roman"/>
          <w:kern w:val="0"/>
          <w:szCs w:val="24"/>
          <w:lang w:eastAsia="lt-LT"/>
          <w14:ligatures w14:val="none"/>
        </w:rPr>
        <w:t xml:space="preserve"> pagal toliau nustatytus </w:t>
      </w:r>
      <w:proofErr w:type="spellStart"/>
      <w:r w:rsidRPr="009F00EE">
        <w:rPr>
          <w:rFonts w:eastAsia="Times New Roman" w:cs="Times New Roman"/>
          <w:kern w:val="0"/>
          <w:szCs w:val="24"/>
          <w:lang w:eastAsia="lt-LT"/>
          <w14:ligatures w14:val="none"/>
        </w:rPr>
        <w:t>pasiūlymu</w:t>
      </w:r>
      <w:proofErr w:type="spellEnd"/>
      <w:r w:rsidRPr="009F00EE">
        <w:rPr>
          <w:rFonts w:eastAsia="Times New Roman" w:cs="Times New Roman"/>
          <w:kern w:val="0"/>
          <w:szCs w:val="24"/>
          <w:lang w:eastAsia="lt-LT"/>
          <w14:ligatures w14:val="none"/>
        </w:rPr>
        <w:t xml:space="preserve">̨ vertinimo kriterijus ir </w:t>
      </w:r>
      <w:proofErr w:type="spellStart"/>
      <w:r w:rsidRPr="009F00EE">
        <w:rPr>
          <w:rFonts w:eastAsia="Times New Roman" w:cs="Times New Roman"/>
          <w:kern w:val="0"/>
          <w:szCs w:val="24"/>
          <w:lang w:eastAsia="lt-LT"/>
          <w14:ligatures w14:val="none"/>
        </w:rPr>
        <w:t>sąlygas</w:t>
      </w:r>
      <w:proofErr w:type="spellEnd"/>
      <w:r w:rsidRPr="009F00EE">
        <w:rPr>
          <w:rFonts w:eastAsia="Times New Roman" w:cs="Times New Roman"/>
          <w:kern w:val="0"/>
          <w:szCs w:val="24"/>
          <w:lang w:eastAsia="lt-LT"/>
          <w14:ligatures w14:val="none"/>
        </w:rPr>
        <w:t>, yra didžiausia.</w:t>
      </w:r>
    </w:p>
    <w:p w14:paraId="7CB65B65" w14:textId="77777777" w:rsidR="00944C94" w:rsidRPr="00BA2D42" w:rsidRDefault="00944C94" w:rsidP="00944C94">
      <w:pPr>
        <w:rPr>
          <w:highlight w:val="yellow"/>
        </w:rPr>
      </w:pPr>
    </w:p>
    <w:p w14:paraId="7ADD19B0" w14:textId="77777777" w:rsidR="00944C94" w:rsidRPr="00BA2D42" w:rsidRDefault="00944C94" w:rsidP="00944C94">
      <w:pPr>
        <w:rPr>
          <w:highlight w:val="yellow"/>
        </w:rPr>
      </w:pPr>
    </w:p>
    <w:p w14:paraId="0F2F79A4" w14:textId="77777777" w:rsidR="00944C94" w:rsidRPr="007221C0" w:rsidRDefault="00944C94" w:rsidP="00944C94">
      <w:r w:rsidRPr="007221C0">
        <w:t>Numatytų vertinimo kriterijų lyginamieji svoriai:</w:t>
      </w:r>
    </w:p>
    <w:tbl>
      <w:tblPr>
        <w:tblW w:w="6700" w:type="dxa"/>
        <w:tblLook w:val="04A0" w:firstRow="1" w:lastRow="0" w:firstColumn="1" w:lastColumn="0" w:noHBand="0" w:noVBand="1"/>
      </w:tblPr>
      <w:tblGrid>
        <w:gridCol w:w="4860"/>
        <w:gridCol w:w="1840"/>
      </w:tblGrid>
      <w:tr w:rsidR="00944C94" w:rsidRPr="007221C0" w14:paraId="2673DB5D" w14:textId="77777777" w:rsidTr="00574556">
        <w:trPr>
          <w:trHeight w:val="312"/>
        </w:trPr>
        <w:tc>
          <w:tcPr>
            <w:tcW w:w="4860" w:type="dxa"/>
            <w:tcBorders>
              <w:top w:val="single" w:sz="4" w:space="0" w:color="auto"/>
              <w:left w:val="single" w:sz="4" w:space="0" w:color="auto"/>
              <w:bottom w:val="single" w:sz="4" w:space="0" w:color="auto"/>
              <w:right w:val="single" w:sz="4" w:space="0" w:color="auto"/>
            </w:tcBorders>
            <w:noWrap/>
            <w:vAlign w:val="bottom"/>
            <w:hideMark/>
          </w:tcPr>
          <w:p w14:paraId="2B5A3011" w14:textId="77777777" w:rsidR="00944C94" w:rsidRPr="007221C0" w:rsidRDefault="00944C94" w:rsidP="00574556">
            <w:pPr>
              <w:rPr>
                <w:rFonts w:eastAsia="Times New Roman" w:cs="Times New Roman"/>
                <w:kern w:val="0"/>
                <w:szCs w:val="24"/>
                <w:lang w:eastAsia="lt-LT"/>
                <w14:ligatures w14:val="none"/>
              </w:rPr>
            </w:pPr>
            <w:r w:rsidRPr="007221C0">
              <w:rPr>
                <w:rFonts w:eastAsia="Times New Roman" w:cs="Times New Roman"/>
                <w:kern w:val="0"/>
                <w:szCs w:val="24"/>
                <w:lang w:eastAsia="lt-LT"/>
                <w14:ligatures w14:val="none"/>
              </w:rPr>
              <w:t xml:space="preserve">1) </w:t>
            </w:r>
            <w:r w:rsidRPr="0085143E">
              <w:rPr>
                <w:rFonts w:eastAsia="Times New Roman" w:cs="Times New Roman"/>
                <w:kern w:val="0"/>
                <w:szCs w:val="24"/>
                <w:lang w:eastAsia="lt-LT"/>
                <w14:ligatures w14:val="none"/>
              </w:rPr>
              <w:t>Infuzinės tūrinės pompos</w:t>
            </w:r>
            <w:r w:rsidRPr="007221C0">
              <w:rPr>
                <w:rFonts w:eastAsia="Times New Roman" w:cs="Times New Roman"/>
                <w:kern w:val="0"/>
                <w:szCs w:val="24"/>
                <w:lang w:eastAsia="lt-LT"/>
                <w14:ligatures w14:val="none"/>
              </w:rPr>
              <w:t xml:space="preserve"> kaina (K)</w:t>
            </w:r>
          </w:p>
        </w:tc>
        <w:tc>
          <w:tcPr>
            <w:tcW w:w="1840" w:type="dxa"/>
            <w:tcBorders>
              <w:top w:val="single" w:sz="4" w:space="0" w:color="auto"/>
              <w:left w:val="nil"/>
              <w:bottom w:val="single" w:sz="4" w:space="0" w:color="auto"/>
              <w:right w:val="single" w:sz="4" w:space="0" w:color="auto"/>
            </w:tcBorders>
            <w:noWrap/>
            <w:vAlign w:val="bottom"/>
            <w:hideMark/>
          </w:tcPr>
          <w:p w14:paraId="3DF2CB73" w14:textId="77777777" w:rsidR="00944C94" w:rsidRPr="007221C0" w:rsidRDefault="00944C94" w:rsidP="00574556">
            <w:pPr>
              <w:jc w:val="center"/>
              <w:rPr>
                <w:rFonts w:eastAsia="Times New Roman" w:cs="Times New Roman"/>
                <w:kern w:val="0"/>
                <w:szCs w:val="24"/>
                <w:lang w:eastAsia="lt-LT"/>
                <w14:ligatures w14:val="none"/>
              </w:rPr>
            </w:pPr>
            <w:r w:rsidRPr="007221C0">
              <w:rPr>
                <w:rFonts w:eastAsia="Times New Roman" w:cs="Times New Roman"/>
                <w:kern w:val="0"/>
                <w:szCs w:val="24"/>
                <w:lang w:eastAsia="lt-LT"/>
                <w14:ligatures w14:val="none"/>
              </w:rPr>
              <w:t>55</w:t>
            </w:r>
          </w:p>
        </w:tc>
      </w:tr>
      <w:tr w:rsidR="00944C94" w:rsidRPr="007221C0" w14:paraId="639A04EF" w14:textId="77777777" w:rsidTr="00574556">
        <w:trPr>
          <w:trHeight w:val="312"/>
        </w:trPr>
        <w:tc>
          <w:tcPr>
            <w:tcW w:w="4860" w:type="dxa"/>
            <w:tcBorders>
              <w:top w:val="nil"/>
              <w:left w:val="single" w:sz="4" w:space="0" w:color="auto"/>
              <w:bottom w:val="single" w:sz="4" w:space="0" w:color="auto"/>
              <w:right w:val="single" w:sz="4" w:space="0" w:color="auto"/>
            </w:tcBorders>
            <w:noWrap/>
            <w:vAlign w:val="bottom"/>
            <w:hideMark/>
          </w:tcPr>
          <w:p w14:paraId="45B3376E" w14:textId="77777777" w:rsidR="00944C94" w:rsidRPr="007221C0" w:rsidRDefault="00944C94" w:rsidP="00574556">
            <w:pPr>
              <w:rPr>
                <w:rFonts w:eastAsia="Times New Roman" w:cs="Times New Roman"/>
                <w:kern w:val="0"/>
                <w:szCs w:val="24"/>
                <w:lang w:eastAsia="lt-LT"/>
                <w14:ligatures w14:val="none"/>
              </w:rPr>
            </w:pPr>
            <w:r w:rsidRPr="007221C0">
              <w:rPr>
                <w:rFonts w:eastAsia="Times New Roman" w:cs="Times New Roman"/>
                <w:kern w:val="0"/>
                <w:szCs w:val="24"/>
                <w:lang w:eastAsia="lt-LT"/>
                <w14:ligatures w14:val="none"/>
              </w:rPr>
              <w:t>2) Techniniai pranašumai (T)</w:t>
            </w:r>
          </w:p>
        </w:tc>
        <w:tc>
          <w:tcPr>
            <w:tcW w:w="1840" w:type="dxa"/>
            <w:tcBorders>
              <w:top w:val="nil"/>
              <w:left w:val="nil"/>
              <w:bottom w:val="single" w:sz="4" w:space="0" w:color="auto"/>
              <w:right w:val="single" w:sz="4" w:space="0" w:color="auto"/>
            </w:tcBorders>
            <w:noWrap/>
            <w:vAlign w:val="bottom"/>
            <w:hideMark/>
          </w:tcPr>
          <w:p w14:paraId="07625D18" w14:textId="77777777" w:rsidR="00944C94" w:rsidRPr="007221C0" w:rsidRDefault="00944C94" w:rsidP="00574556">
            <w:pPr>
              <w:jc w:val="center"/>
              <w:rPr>
                <w:rFonts w:eastAsia="Times New Roman" w:cs="Times New Roman"/>
                <w:kern w:val="0"/>
                <w:szCs w:val="24"/>
                <w:lang w:eastAsia="lt-LT"/>
                <w14:ligatures w14:val="none"/>
              </w:rPr>
            </w:pPr>
            <w:r w:rsidRPr="007221C0">
              <w:rPr>
                <w:rFonts w:eastAsia="Times New Roman" w:cs="Times New Roman"/>
                <w:kern w:val="0"/>
                <w:szCs w:val="24"/>
                <w:lang w:eastAsia="lt-LT"/>
                <w14:ligatures w14:val="none"/>
              </w:rPr>
              <w:t>40</w:t>
            </w:r>
          </w:p>
        </w:tc>
      </w:tr>
      <w:tr w:rsidR="00944C94" w:rsidRPr="007221C0" w14:paraId="2D44B994" w14:textId="77777777" w:rsidTr="00574556">
        <w:trPr>
          <w:trHeight w:val="312"/>
        </w:trPr>
        <w:tc>
          <w:tcPr>
            <w:tcW w:w="4860" w:type="dxa"/>
            <w:tcBorders>
              <w:top w:val="nil"/>
              <w:left w:val="single" w:sz="4" w:space="0" w:color="auto"/>
              <w:bottom w:val="single" w:sz="4" w:space="0" w:color="auto"/>
              <w:right w:val="single" w:sz="4" w:space="0" w:color="auto"/>
            </w:tcBorders>
            <w:noWrap/>
            <w:vAlign w:val="bottom"/>
            <w:hideMark/>
          </w:tcPr>
          <w:p w14:paraId="26BC2CE7" w14:textId="77777777" w:rsidR="00944C94" w:rsidRPr="007221C0" w:rsidRDefault="00944C94" w:rsidP="00574556">
            <w:pPr>
              <w:rPr>
                <w:rFonts w:eastAsia="Times New Roman" w:cs="Times New Roman"/>
                <w:kern w:val="0"/>
                <w:szCs w:val="24"/>
                <w:lang w:eastAsia="lt-LT"/>
                <w14:ligatures w14:val="none"/>
              </w:rPr>
            </w:pPr>
            <w:r w:rsidRPr="007221C0">
              <w:rPr>
                <w:rFonts w:eastAsia="Times New Roman" w:cs="Times New Roman"/>
                <w:kern w:val="0"/>
                <w:szCs w:val="24"/>
                <w:lang w:eastAsia="lt-LT"/>
                <w14:ligatures w14:val="none"/>
              </w:rPr>
              <w:t>3) Išplėstinė garantija (G)</w:t>
            </w:r>
          </w:p>
        </w:tc>
        <w:tc>
          <w:tcPr>
            <w:tcW w:w="1840" w:type="dxa"/>
            <w:tcBorders>
              <w:top w:val="nil"/>
              <w:left w:val="nil"/>
              <w:bottom w:val="single" w:sz="4" w:space="0" w:color="auto"/>
              <w:right w:val="single" w:sz="4" w:space="0" w:color="auto"/>
            </w:tcBorders>
            <w:noWrap/>
            <w:vAlign w:val="bottom"/>
            <w:hideMark/>
          </w:tcPr>
          <w:p w14:paraId="1C1358DC" w14:textId="77777777" w:rsidR="00944C94" w:rsidRPr="007221C0" w:rsidRDefault="00944C94" w:rsidP="00574556">
            <w:pPr>
              <w:jc w:val="center"/>
              <w:rPr>
                <w:rFonts w:eastAsia="Times New Roman" w:cs="Times New Roman"/>
                <w:kern w:val="0"/>
                <w:szCs w:val="24"/>
                <w:lang w:eastAsia="lt-LT"/>
                <w14:ligatures w14:val="none"/>
              </w:rPr>
            </w:pPr>
            <w:r w:rsidRPr="007221C0">
              <w:rPr>
                <w:rFonts w:eastAsia="Times New Roman" w:cs="Times New Roman"/>
                <w:kern w:val="0"/>
                <w:szCs w:val="24"/>
                <w:lang w:eastAsia="lt-LT"/>
                <w14:ligatures w14:val="none"/>
              </w:rPr>
              <w:t>5</w:t>
            </w:r>
          </w:p>
        </w:tc>
      </w:tr>
    </w:tbl>
    <w:p w14:paraId="40902B72" w14:textId="77777777" w:rsidR="00944C94" w:rsidRPr="007221C0" w:rsidRDefault="00944C94" w:rsidP="00944C94"/>
    <w:p w14:paraId="75DF9598" w14:textId="77777777" w:rsidR="00944C94" w:rsidRPr="00BA2D42" w:rsidRDefault="00944C94" w:rsidP="00944C94">
      <w:pPr>
        <w:rPr>
          <w:highlight w:val="yellow"/>
        </w:rPr>
      </w:pPr>
      <w:r w:rsidRPr="007221C0">
        <w:t>Vertinimo kriterijai ir jų parametrų lyginamieji svoriai:</w:t>
      </w:r>
    </w:p>
    <w:tbl>
      <w:tblPr>
        <w:tblW w:w="10148" w:type="dxa"/>
        <w:tblInd w:w="-1003" w:type="dxa"/>
        <w:tblLayout w:type="fixed"/>
        <w:tblLook w:val="04A0" w:firstRow="1" w:lastRow="0" w:firstColumn="1" w:lastColumn="0" w:noHBand="0" w:noVBand="1"/>
      </w:tblPr>
      <w:tblGrid>
        <w:gridCol w:w="1496"/>
        <w:gridCol w:w="3608"/>
        <w:gridCol w:w="1276"/>
        <w:gridCol w:w="679"/>
        <w:gridCol w:w="601"/>
        <w:gridCol w:w="855"/>
        <w:gridCol w:w="1633"/>
      </w:tblGrid>
      <w:tr w:rsidR="00944C94" w:rsidRPr="00BA2D42" w14:paraId="59777EBD" w14:textId="77777777" w:rsidTr="00574556">
        <w:trPr>
          <w:trHeight w:val="990"/>
        </w:trPr>
        <w:tc>
          <w:tcPr>
            <w:tcW w:w="7660" w:type="dxa"/>
            <w:gridSpan w:val="5"/>
            <w:tcBorders>
              <w:top w:val="single" w:sz="8" w:space="0" w:color="auto"/>
              <w:left w:val="single" w:sz="8" w:space="0" w:color="auto"/>
              <w:bottom w:val="single" w:sz="8" w:space="0" w:color="auto"/>
              <w:right w:val="single" w:sz="8" w:space="0" w:color="000000"/>
            </w:tcBorders>
            <w:vAlign w:val="center"/>
            <w:hideMark/>
          </w:tcPr>
          <w:p w14:paraId="1D7AD89D" w14:textId="77777777" w:rsidR="00944C94" w:rsidRPr="0085143E" w:rsidRDefault="00944C94" w:rsidP="00574556">
            <w:pPr>
              <w:jc w:val="center"/>
              <w:rPr>
                <w:rFonts w:eastAsia="Times New Roman" w:cs="Times New Roman"/>
                <w:b/>
                <w:bCs/>
                <w:kern w:val="0"/>
                <w:szCs w:val="24"/>
                <w:lang w:eastAsia="lt-LT"/>
                <w14:ligatures w14:val="none"/>
              </w:rPr>
            </w:pPr>
            <w:r w:rsidRPr="0085143E">
              <w:rPr>
                <w:rFonts w:eastAsia="Times New Roman" w:cs="Times New Roman"/>
                <w:b/>
                <w:bCs/>
                <w:kern w:val="0"/>
                <w:szCs w:val="24"/>
                <w:lang w:eastAsia="lt-LT"/>
                <w14:ligatures w14:val="none"/>
              </w:rPr>
              <w:t>Vertinimo kriterijai</w:t>
            </w:r>
          </w:p>
        </w:tc>
        <w:tc>
          <w:tcPr>
            <w:tcW w:w="2488" w:type="dxa"/>
            <w:gridSpan w:val="2"/>
            <w:tcBorders>
              <w:top w:val="single" w:sz="8" w:space="0" w:color="auto"/>
              <w:left w:val="nil"/>
              <w:bottom w:val="single" w:sz="8" w:space="0" w:color="auto"/>
              <w:right w:val="single" w:sz="8" w:space="0" w:color="000000"/>
            </w:tcBorders>
            <w:vAlign w:val="center"/>
            <w:hideMark/>
          </w:tcPr>
          <w:p w14:paraId="0CD4C433" w14:textId="77777777" w:rsidR="00944C94" w:rsidRPr="0085143E" w:rsidRDefault="00944C94" w:rsidP="00574556">
            <w:pPr>
              <w:jc w:val="center"/>
              <w:rPr>
                <w:rFonts w:eastAsia="Times New Roman" w:cs="Times New Roman"/>
                <w:b/>
                <w:bCs/>
                <w:kern w:val="0"/>
                <w:szCs w:val="24"/>
                <w:lang w:eastAsia="lt-LT"/>
                <w14:ligatures w14:val="none"/>
              </w:rPr>
            </w:pPr>
            <w:r w:rsidRPr="0085143E">
              <w:rPr>
                <w:rFonts w:eastAsia="Times New Roman" w:cs="Times New Roman"/>
                <w:b/>
                <w:bCs/>
                <w:kern w:val="0"/>
                <w:szCs w:val="24"/>
                <w:lang w:eastAsia="lt-LT"/>
                <w14:ligatures w14:val="none"/>
              </w:rPr>
              <w:t>Lyginamasis svoris ekonominio naudingumo įvertinime</w:t>
            </w:r>
          </w:p>
        </w:tc>
      </w:tr>
      <w:tr w:rsidR="00944C94" w:rsidRPr="00BA2D42" w14:paraId="47AD1A34" w14:textId="77777777" w:rsidTr="00574556">
        <w:trPr>
          <w:trHeight w:val="324"/>
        </w:trPr>
        <w:tc>
          <w:tcPr>
            <w:tcW w:w="7660" w:type="dxa"/>
            <w:gridSpan w:val="5"/>
            <w:tcBorders>
              <w:top w:val="single" w:sz="8" w:space="0" w:color="auto"/>
              <w:left w:val="single" w:sz="8" w:space="0" w:color="auto"/>
              <w:bottom w:val="single" w:sz="8" w:space="0" w:color="auto"/>
              <w:right w:val="single" w:sz="8" w:space="0" w:color="000000"/>
            </w:tcBorders>
            <w:vAlign w:val="center"/>
            <w:hideMark/>
          </w:tcPr>
          <w:p w14:paraId="58460AED" w14:textId="77777777" w:rsidR="00944C94" w:rsidRPr="0085143E" w:rsidRDefault="00944C94" w:rsidP="00574556">
            <w:pPr>
              <w:rPr>
                <w:rFonts w:eastAsia="Times New Roman" w:cs="Times New Roman"/>
                <w:b/>
                <w:bCs/>
                <w:kern w:val="0"/>
                <w:szCs w:val="24"/>
                <w:lang w:eastAsia="lt-LT"/>
                <w14:ligatures w14:val="none"/>
              </w:rPr>
            </w:pPr>
            <w:r w:rsidRPr="0085143E">
              <w:rPr>
                <w:rFonts w:eastAsia="Times New Roman" w:cs="Times New Roman"/>
                <w:b/>
                <w:bCs/>
                <w:kern w:val="0"/>
                <w:szCs w:val="24"/>
                <w:lang w:eastAsia="lt-LT"/>
                <w14:ligatures w14:val="none"/>
              </w:rPr>
              <w:t>Infuzinės tūrinės pompos kaina</w:t>
            </w:r>
            <w:r w:rsidRPr="0085143E">
              <w:rPr>
                <w:rFonts w:eastAsia="Times New Roman" w:cs="Times New Roman"/>
                <w:kern w:val="0"/>
                <w:szCs w:val="24"/>
                <w:lang w:eastAsia="lt-LT"/>
                <w14:ligatures w14:val="none"/>
              </w:rPr>
              <w:t xml:space="preserve"> </w:t>
            </w:r>
            <w:r w:rsidRPr="0085143E">
              <w:rPr>
                <w:rFonts w:eastAsia="Times New Roman" w:cs="Times New Roman"/>
                <w:b/>
                <w:bCs/>
                <w:kern w:val="0"/>
                <w:szCs w:val="24"/>
                <w:lang w:eastAsia="lt-LT"/>
                <w14:ligatures w14:val="none"/>
              </w:rPr>
              <w:t>(K)</w:t>
            </w:r>
          </w:p>
        </w:tc>
        <w:tc>
          <w:tcPr>
            <w:tcW w:w="855" w:type="dxa"/>
            <w:tcBorders>
              <w:top w:val="nil"/>
              <w:left w:val="nil"/>
              <w:bottom w:val="single" w:sz="8" w:space="0" w:color="auto"/>
              <w:right w:val="single" w:sz="8" w:space="0" w:color="auto"/>
            </w:tcBorders>
            <w:vAlign w:val="center"/>
            <w:hideMark/>
          </w:tcPr>
          <w:p w14:paraId="121E0004" w14:textId="77777777" w:rsidR="00944C94" w:rsidRPr="0085143E" w:rsidRDefault="00944C94" w:rsidP="00574556">
            <w:pPr>
              <w:jc w:val="center"/>
              <w:rPr>
                <w:rFonts w:eastAsia="Times New Roman" w:cs="Times New Roman"/>
                <w:b/>
                <w:bCs/>
                <w:kern w:val="0"/>
                <w:szCs w:val="24"/>
                <w:lang w:eastAsia="lt-LT"/>
                <w14:ligatures w14:val="none"/>
              </w:rPr>
            </w:pPr>
            <w:r w:rsidRPr="0085143E">
              <w:rPr>
                <w:rFonts w:eastAsia="Times New Roman" w:cs="Times New Roman"/>
                <w:b/>
                <w:bCs/>
                <w:kern w:val="0"/>
                <w:szCs w:val="24"/>
                <w:lang w:eastAsia="lt-LT"/>
                <w14:ligatures w14:val="none"/>
              </w:rPr>
              <w:t>X =</w:t>
            </w:r>
          </w:p>
        </w:tc>
        <w:tc>
          <w:tcPr>
            <w:tcW w:w="1633" w:type="dxa"/>
            <w:tcBorders>
              <w:top w:val="nil"/>
              <w:left w:val="nil"/>
              <w:bottom w:val="single" w:sz="8" w:space="0" w:color="auto"/>
              <w:right w:val="single" w:sz="8" w:space="0" w:color="auto"/>
            </w:tcBorders>
            <w:vAlign w:val="center"/>
            <w:hideMark/>
          </w:tcPr>
          <w:p w14:paraId="23F34BBB" w14:textId="77777777" w:rsidR="00944C94" w:rsidRPr="0085143E" w:rsidRDefault="00944C94" w:rsidP="00574556">
            <w:pPr>
              <w:jc w:val="center"/>
              <w:rPr>
                <w:rFonts w:eastAsia="Times New Roman" w:cs="Times New Roman"/>
                <w:b/>
                <w:bCs/>
                <w:kern w:val="0"/>
                <w:szCs w:val="24"/>
                <w:lang w:eastAsia="lt-LT"/>
                <w14:ligatures w14:val="none"/>
              </w:rPr>
            </w:pPr>
            <w:r w:rsidRPr="0085143E">
              <w:rPr>
                <w:rFonts w:eastAsia="Times New Roman" w:cs="Times New Roman"/>
                <w:b/>
                <w:bCs/>
                <w:kern w:val="0"/>
                <w:szCs w:val="24"/>
                <w:lang w:eastAsia="lt-LT"/>
                <w14:ligatures w14:val="none"/>
              </w:rPr>
              <w:t>55</w:t>
            </w:r>
          </w:p>
        </w:tc>
      </w:tr>
      <w:tr w:rsidR="00944C94" w:rsidRPr="00BA2D42" w14:paraId="0378C6EB" w14:textId="77777777" w:rsidTr="00574556">
        <w:trPr>
          <w:trHeight w:val="324"/>
        </w:trPr>
        <w:tc>
          <w:tcPr>
            <w:tcW w:w="7660" w:type="dxa"/>
            <w:gridSpan w:val="5"/>
            <w:tcBorders>
              <w:top w:val="single" w:sz="8" w:space="0" w:color="auto"/>
              <w:left w:val="single" w:sz="8" w:space="0" w:color="auto"/>
              <w:bottom w:val="single" w:sz="8" w:space="0" w:color="auto"/>
              <w:right w:val="single" w:sz="8" w:space="0" w:color="000000"/>
            </w:tcBorders>
            <w:vAlign w:val="center"/>
            <w:hideMark/>
          </w:tcPr>
          <w:p w14:paraId="56D30B7D" w14:textId="77777777" w:rsidR="00944C94" w:rsidRPr="0085143E" w:rsidRDefault="00944C94" w:rsidP="00574556">
            <w:pPr>
              <w:rPr>
                <w:rFonts w:eastAsia="Times New Roman" w:cs="Times New Roman"/>
                <w:b/>
                <w:bCs/>
                <w:kern w:val="0"/>
                <w:szCs w:val="24"/>
                <w:lang w:eastAsia="lt-LT"/>
                <w14:ligatures w14:val="none"/>
              </w:rPr>
            </w:pPr>
            <w:r w:rsidRPr="0085143E">
              <w:rPr>
                <w:rFonts w:eastAsia="Times New Roman" w:cs="Times New Roman"/>
                <w:b/>
                <w:bCs/>
                <w:kern w:val="0"/>
                <w:szCs w:val="24"/>
                <w:lang w:eastAsia="lt-LT"/>
                <w14:ligatures w14:val="none"/>
              </w:rPr>
              <w:t>Techniniai pranašumai (T)</w:t>
            </w:r>
          </w:p>
        </w:tc>
        <w:tc>
          <w:tcPr>
            <w:tcW w:w="855" w:type="dxa"/>
            <w:tcBorders>
              <w:top w:val="nil"/>
              <w:left w:val="nil"/>
              <w:bottom w:val="single" w:sz="8" w:space="0" w:color="auto"/>
              <w:right w:val="single" w:sz="8" w:space="0" w:color="auto"/>
            </w:tcBorders>
            <w:vAlign w:val="center"/>
            <w:hideMark/>
          </w:tcPr>
          <w:p w14:paraId="796CA900" w14:textId="77777777" w:rsidR="00944C94" w:rsidRPr="0085143E" w:rsidRDefault="00944C94" w:rsidP="00574556">
            <w:pPr>
              <w:jc w:val="center"/>
              <w:rPr>
                <w:rFonts w:eastAsia="Times New Roman" w:cs="Times New Roman"/>
                <w:b/>
                <w:bCs/>
                <w:kern w:val="0"/>
                <w:szCs w:val="24"/>
                <w:lang w:eastAsia="lt-LT"/>
                <w14:ligatures w14:val="none"/>
              </w:rPr>
            </w:pPr>
            <w:r w:rsidRPr="0085143E">
              <w:rPr>
                <w:rFonts w:eastAsia="Times New Roman" w:cs="Times New Roman"/>
                <w:b/>
                <w:bCs/>
                <w:kern w:val="0"/>
                <w:szCs w:val="24"/>
                <w:lang w:eastAsia="lt-LT"/>
                <w14:ligatures w14:val="none"/>
              </w:rPr>
              <w:t>Y =</w:t>
            </w:r>
          </w:p>
        </w:tc>
        <w:tc>
          <w:tcPr>
            <w:tcW w:w="1633" w:type="dxa"/>
            <w:tcBorders>
              <w:top w:val="nil"/>
              <w:left w:val="nil"/>
              <w:bottom w:val="single" w:sz="8" w:space="0" w:color="auto"/>
              <w:right w:val="single" w:sz="8" w:space="0" w:color="auto"/>
            </w:tcBorders>
            <w:vAlign w:val="center"/>
            <w:hideMark/>
          </w:tcPr>
          <w:p w14:paraId="589C6919" w14:textId="77777777" w:rsidR="00944C94" w:rsidRPr="0085143E" w:rsidRDefault="00944C94" w:rsidP="00574556">
            <w:pPr>
              <w:jc w:val="center"/>
              <w:rPr>
                <w:rFonts w:eastAsia="Times New Roman" w:cs="Times New Roman"/>
                <w:b/>
                <w:bCs/>
                <w:kern w:val="0"/>
                <w:szCs w:val="24"/>
                <w:lang w:eastAsia="lt-LT"/>
                <w14:ligatures w14:val="none"/>
              </w:rPr>
            </w:pPr>
            <w:r w:rsidRPr="0085143E">
              <w:rPr>
                <w:rFonts w:eastAsia="Times New Roman" w:cs="Times New Roman"/>
                <w:b/>
                <w:bCs/>
                <w:kern w:val="0"/>
                <w:szCs w:val="24"/>
                <w:lang w:eastAsia="lt-LT"/>
                <w14:ligatures w14:val="none"/>
              </w:rPr>
              <w:t>40</w:t>
            </w:r>
          </w:p>
        </w:tc>
      </w:tr>
      <w:tr w:rsidR="00944C94" w:rsidRPr="00BA2D42" w14:paraId="793644A5" w14:textId="77777777" w:rsidTr="00574556">
        <w:trPr>
          <w:trHeight w:val="324"/>
        </w:trPr>
        <w:tc>
          <w:tcPr>
            <w:tcW w:w="7660" w:type="dxa"/>
            <w:gridSpan w:val="5"/>
            <w:tcBorders>
              <w:top w:val="single" w:sz="8" w:space="0" w:color="auto"/>
              <w:left w:val="single" w:sz="8" w:space="0" w:color="auto"/>
              <w:bottom w:val="single" w:sz="8" w:space="0" w:color="auto"/>
              <w:right w:val="single" w:sz="8" w:space="0" w:color="000000"/>
            </w:tcBorders>
            <w:vAlign w:val="center"/>
            <w:hideMark/>
          </w:tcPr>
          <w:p w14:paraId="4B73C8E3" w14:textId="77777777" w:rsidR="00944C94" w:rsidRPr="0085143E" w:rsidRDefault="00944C94" w:rsidP="00574556">
            <w:pPr>
              <w:rPr>
                <w:rFonts w:eastAsia="Times New Roman" w:cs="Times New Roman"/>
                <w:b/>
                <w:bCs/>
                <w:kern w:val="0"/>
                <w:szCs w:val="24"/>
                <w:lang w:eastAsia="lt-LT"/>
                <w14:ligatures w14:val="none"/>
              </w:rPr>
            </w:pPr>
            <w:r w:rsidRPr="0085143E">
              <w:rPr>
                <w:rFonts w:eastAsia="Times New Roman" w:cs="Times New Roman"/>
                <w:b/>
                <w:bCs/>
                <w:kern w:val="0"/>
                <w:szCs w:val="24"/>
                <w:lang w:eastAsia="lt-LT"/>
                <w14:ligatures w14:val="none"/>
              </w:rPr>
              <w:t>Išplėstinė garantija (G)</w:t>
            </w:r>
          </w:p>
        </w:tc>
        <w:tc>
          <w:tcPr>
            <w:tcW w:w="855" w:type="dxa"/>
            <w:tcBorders>
              <w:top w:val="nil"/>
              <w:left w:val="nil"/>
              <w:bottom w:val="single" w:sz="8" w:space="0" w:color="auto"/>
              <w:right w:val="single" w:sz="8" w:space="0" w:color="auto"/>
            </w:tcBorders>
            <w:vAlign w:val="center"/>
            <w:hideMark/>
          </w:tcPr>
          <w:p w14:paraId="33EE8A0D" w14:textId="77777777" w:rsidR="00944C94" w:rsidRPr="0085143E" w:rsidRDefault="00944C94" w:rsidP="00574556">
            <w:pPr>
              <w:jc w:val="center"/>
              <w:rPr>
                <w:rFonts w:eastAsia="Times New Roman" w:cs="Times New Roman"/>
                <w:b/>
                <w:bCs/>
                <w:kern w:val="0"/>
                <w:szCs w:val="24"/>
                <w:lang w:eastAsia="lt-LT"/>
                <w14:ligatures w14:val="none"/>
              </w:rPr>
            </w:pPr>
            <w:r w:rsidRPr="0085143E">
              <w:rPr>
                <w:rFonts w:eastAsia="Times New Roman" w:cs="Times New Roman"/>
                <w:b/>
                <w:bCs/>
                <w:kern w:val="0"/>
                <w:szCs w:val="24"/>
                <w:lang w:eastAsia="lt-LT"/>
                <w14:ligatures w14:val="none"/>
              </w:rPr>
              <w:t>Q =</w:t>
            </w:r>
          </w:p>
        </w:tc>
        <w:tc>
          <w:tcPr>
            <w:tcW w:w="1633" w:type="dxa"/>
            <w:tcBorders>
              <w:top w:val="nil"/>
              <w:left w:val="nil"/>
              <w:bottom w:val="single" w:sz="8" w:space="0" w:color="auto"/>
              <w:right w:val="single" w:sz="8" w:space="0" w:color="auto"/>
            </w:tcBorders>
            <w:vAlign w:val="center"/>
            <w:hideMark/>
          </w:tcPr>
          <w:p w14:paraId="6132E98A" w14:textId="77777777" w:rsidR="00944C94" w:rsidRPr="0085143E" w:rsidRDefault="00944C94" w:rsidP="00574556">
            <w:pPr>
              <w:jc w:val="center"/>
              <w:rPr>
                <w:rFonts w:eastAsia="Times New Roman" w:cs="Times New Roman"/>
                <w:b/>
                <w:bCs/>
                <w:kern w:val="0"/>
                <w:szCs w:val="24"/>
                <w:lang w:eastAsia="lt-LT"/>
                <w14:ligatures w14:val="none"/>
              </w:rPr>
            </w:pPr>
            <w:r w:rsidRPr="0085143E">
              <w:rPr>
                <w:rFonts w:eastAsia="Times New Roman" w:cs="Times New Roman"/>
                <w:b/>
                <w:bCs/>
                <w:kern w:val="0"/>
                <w:szCs w:val="24"/>
                <w:lang w:eastAsia="lt-LT"/>
                <w14:ligatures w14:val="none"/>
              </w:rPr>
              <w:t>5</w:t>
            </w:r>
          </w:p>
        </w:tc>
      </w:tr>
      <w:tr w:rsidR="00944C94" w:rsidRPr="00BA2D42" w14:paraId="0C9BAA5E" w14:textId="77777777" w:rsidTr="00574556">
        <w:trPr>
          <w:trHeight w:val="330"/>
        </w:trPr>
        <w:tc>
          <w:tcPr>
            <w:tcW w:w="1496" w:type="dxa"/>
            <w:tcBorders>
              <w:top w:val="nil"/>
              <w:left w:val="single" w:sz="8" w:space="0" w:color="auto"/>
              <w:bottom w:val="single" w:sz="8" w:space="0" w:color="auto"/>
              <w:right w:val="single" w:sz="8" w:space="0" w:color="auto"/>
            </w:tcBorders>
            <w:vAlign w:val="center"/>
            <w:hideMark/>
          </w:tcPr>
          <w:p w14:paraId="31F47543" w14:textId="77777777" w:rsidR="00944C94" w:rsidRPr="0085143E" w:rsidRDefault="00944C94" w:rsidP="00574556">
            <w:pPr>
              <w:jc w:val="center"/>
              <w:rPr>
                <w:rFonts w:eastAsia="Times New Roman" w:cs="Times New Roman"/>
                <w:b/>
                <w:bCs/>
                <w:kern w:val="0"/>
                <w:szCs w:val="24"/>
                <w:lang w:eastAsia="lt-LT"/>
                <w14:ligatures w14:val="none"/>
              </w:rPr>
            </w:pPr>
            <w:r w:rsidRPr="0085143E">
              <w:rPr>
                <w:rFonts w:eastAsia="Times New Roman" w:cs="Times New Roman"/>
                <w:b/>
                <w:bCs/>
                <w:kern w:val="0"/>
                <w:szCs w:val="24"/>
                <w:lang w:eastAsia="lt-LT"/>
                <w14:ligatures w14:val="none"/>
              </w:rPr>
              <w:t>Nr.</w:t>
            </w:r>
          </w:p>
        </w:tc>
        <w:tc>
          <w:tcPr>
            <w:tcW w:w="3608" w:type="dxa"/>
            <w:tcBorders>
              <w:top w:val="nil"/>
              <w:left w:val="nil"/>
              <w:bottom w:val="single" w:sz="8" w:space="0" w:color="auto"/>
              <w:right w:val="single" w:sz="8" w:space="0" w:color="auto"/>
            </w:tcBorders>
            <w:vAlign w:val="center"/>
            <w:hideMark/>
          </w:tcPr>
          <w:p w14:paraId="0A4366FB" w14:textId="77777777" w:rsidR="00944C94" w:rsidRPr="0085143E" w:rsidRDefault="00944C94" w:rsidP="00574556">
            <w:pPr>
              <w:jc w:val="center"/>
              <w:rPr>
                <w:rFonts w:eastAsia="Times New Roman" w:cs="Times New Roman"/>
                <w:b/>
                <w:bCs/>
                <w:kern w:val="0"/>
                <w:szCs w:val="24"/>
                <w:lang w:eastAsia="lt-LT"/>
                <w14:ligatures w14:val="none"/>
              </w:rPr>
            </w:pPr>
            <w:r w:rsidRPr="0085143E">
              <w:rPr>
                <w:rFonts w:eastAsia="Times New Roman" w:cs="Times New Roman"/>
                <w:b/>
                <w:bCs/>
                <w:kern w:val="0"/>
                <w:szCs w:val="24"/>
                <w:lang w:eastAsia="lt-LT"/>
                <w14:ligatures w14:val="none"/>
              </w:rPr>
              <w:t>Parametrai</w:t>
            </w:r>
          </w:p>
        </w:tc>
        <w:tc>
          <w:tcPr>
            <w:tcW w:w="1276" w:type="dxa"/>
            <w:tcBorders>
              <w:top w:val="nil"/>
              <w:left w:val="nil"/>
              <w:bottom w:val="single" w:sz="8" w:space="0" w:color="auto"/>
              <w:right w:val="single" w:sz="8" w:space="0" w:color="auto"/>
            </w:tcBorders>
            <w:vAlign w:val="center"/>
            <w:hideMark/>
          </w:tcPr>
          <w:p w14:paraId="56D26447" w14:textId="77777777" w:rsidR="00944C94" w:rsidRPr="0085143E" w:rsidRDefault="00944C94" w:rsidP="00574556">
            <w:pPr>
              <w:jc w:val="center"/>
              <w:rPr>
                <w:rFonts w:eastAsia="Times New Roman" w:cs="Times New Roman"/>
                <w:b/>
                <w:bCs/>
                <w:kern w:val="0"/>
                <w:szCs w:val="24"/>
                <w:lang w:eastAsia="lt-LT"/>
                <w14:ligatures w14:val="none"/>
              </w:rPr>
            </w:pPr>
            <w:r w:rsidRPr="0085143E">
              <w:rPr>
                <w:rFonts w:eastAsia="Times New Roman" w:cs="Times New Roman"/>
                <w:b/>
                <w:bCs/>
                <w:kern w:val="0"/>
                <w:szCs w:val="24"/>
                <w:lang w:eastAsia="lt-LT"/>
                <w14:ligatures w14:val="none"/>
              </w:rPr>
              <w:t>Formulės rūšis</w:t>
            </w:r>
          </w:p>
        </w:tc>
        <w:tc>
          <w:tcPr>
            <w:tcW w:w="3768" w:type="dxa"/>
            <w:gridSpan w:val="4"/>
            <w:tcBorders>
              <w:top w:val="single" w:sz="8" w:space="0" w:color="auto"/>
              <w:left w:val="nil"/>
              <w:bottom w:val="single" w:sz="8" w:space="0" w:color="000000"/>
              <w:right w:val="single" w:sz="8" w:space="0" w:color="000000"/>
            </w:tcBorders>
            <w:vAlign w:val="center"/>
            <w:hideMark/>
          </w:tcPr>
          <w:p w14:paraId="605DE15E" w14:textId="77777777" w:rsidR="00944C94" w:rsidRPr="0085143E" w:rsidRDefault="00944C94" w:rsidP="00574556">
            <w:pPr>
              <w:jc w:val="center"/>
              <w:rPr>
                <w:rFonts w:eastAsia="Times New Roman" w:cs="Times New Roman"/>
                <w:b/>
                <w:bCs/>
                <w:kern w:val="0"/>
                <w:szCs w:val="24"/>
                <w:lang w:eastAsia="lt-LT"/>
                <w14:ligatures w14:val="none"/>
              </w:rPr>
            </w:pPr>
            <w:r w:rsidRPr="0085143E">
              <w:rPr>
                <w:rFonts w:eastAsia="Times New Roman" w:cs="Times New Roman"/>
                <w:b/>
                <w:bCs/>
                <w:kern w:val="0"/>
                <w:szCs w:val="24"/>
                <w:lang w:eastAsia="lt-LT"/>
                <w14:ligatures w14:val="none"/>
              </w:rPr>
              <w:t>Parametro lyginamasis svoris</w:t>
            </w:r>
          </w:p>
        </w:tc>
      </w:tr>
      <w:tr w:rsidR="00944C94" w:rsidRPr="00BA2D42" w14:paraId="2D75ACB9" w14:textId="77777777" w:rsidTr="00574556">
        <w:trPr>
          <w:trHeight w:val="564"/>
        </w:trPr>
        <w:tc>
          <w:tcPr>
            <w:tcW w:w="1496" w:type="dxa"/>
            <w:tcBorders>
              <w:top w:val="nil"/>
              <w:left w:val="single" w:sz="8" w:space="0" w:color="auto"/>
              <w:bottom w:val="single" w:sz="8" w:space="0" w:color="auto"/>
              <w:right w:val="nil"/>
            </w:tcBorders>
            <w:vAlign w:val="center"/>
            <w:hideMark/>
          </w:tcPr>
          <w:p w14:paraId="4AE39C1C" w14:textId="77777777" w:rsidR="00944C94" w:rsidRPr="0059729C" w:rsidRDefault="00944C94" w:rsidP="00574556">
            <w:pPr>
              <w:jc w:val="center"/>
              <w:rPr>
                <w:rFonts w:eastAsia="Times New Roman" w:cs="Times New Roman"/>
                <w:kern w:val="0"/>
                <w:szCs w:val="24"/>
                <w:lang w:eastAsia="lt-LT"/>
                <w14:ligatures w14:val="none"/>
              </w:rPr>
            </w:pPr>
            <w:r w:rsidRPr="0059729C">
              <w:rPr>
                <w:rFonts w:eastAsia="Times New Roman" w:cs="Times New Roman"/>
                <w:kern w:val="0"/>
                <w:szCs w:val="24"/>
                <w:lang w:eastAsia="lt-LT"/>
                <w14:ligatures w14:val="none"/>
              </w:rPr>
              <w:t>T1</w:t>
            </w:r>
          </w:p>
        </w:tc>
        <w:tc>
          <w:tcPr>
            <w:tcW w:w="3608" w:type="dxa"/>
            <w:tcBorders>
              <w:top w:val="nil"/>
              <w:left w:val="single" w:sz="8" w:space="0" w:color="auto"/>
              <w:bottom w:val="single" w:sz="8" w:space="0" w:color="auto"/>
              <w:right w:val="nil"/>
            </w:tcBorders>
            <w:hideMark/>
          </w:tcPr>
          <w:p w14:paraId="18E8AE59" w14:textId="77777777" w:rsidR="00944C94" w:rsidRPr="0059729C" w:rsidRDefault="00944C94" w:rsidP="00574556">
            <w:pPr>
              <w:rPr>
                <w:rFonts w:eastAsia="Times New Roman" w:cs="Times New Roman"/>
                <w:kern w:val="0"/>
                <w:szCs w:val="24"/>
                <w:lang w:eastAsia="lt-LT"/>
                <w14:ligatures w14:val="none"/>
              </w:rPr>
            </w:pPr>
            <w:r w:rsidRPr="0059729C">
              <w:rPr>
                <w:rFonts w:eastAsia="Times New Roman" w:cs="Times New Roman"/>
                <w:kern w:val="0"/>
                <w:szCs w:val="24"/>
                <w:lang w:eastAsia="lt-LT"/>
                <w14:ligatures w14:val="none"/>
              </w:rPr>
              <w:t xml:space="preserve">Galimybė naudoti ne mažiau kaip 6-ioms </w:t>
            </w:r>
            <w:proofErr w:type="spellStart"/>
            <w:r w:rsidRPr="0059729C">
              <w:rPr>
                <w:rFonts w:eastAsia="Times New Roman" w:cs="Times New Roman"/>
                <w:kern w:val="0"/>
                <w:szCs w:val="24"/>
                <w:lang w:eastAsia="lt-LT"/>
                <w14:ligatures w14:val="none"/>
              </w:rPr>
              <w:t>terapijoms</w:t>
            </w:r>
            <w:proofErr w:type="spellEnd"/>
            <w:r w:rsidRPr="0059729C">
              <w:rPr>
                <w:rFonts w:eastAsia="Times New Roman" w:cs="Times New Roman"/>
                <w:kern w:val="0"/>
                <w:szCs w:val="24"/>
                <w:lang w:eastAsia="lt-LT"/>
                <w14:ligatures w14:val="none"/>
              </w:rPr>
              <w:t xml:space="preserve"> (</w:t>
            </w:r>
            <w:proofErr w:type="spellStart"/>
            <w:r w:rsidRPr="0059729C">
              <w:rPr>
                <w:rFonts w:eastAsia="Times New Roman" w:cs="Times New Roman"/>
                <w:kern w:val="0"/>
                <w:szCs w:val="24"/>
                <w:lang w:eastAsia="lt-LT"/>
                <w14:ligatures w14:val="none"/>
              </w:rPr>
              <w:t>enterinės</w:t>
            </w:r>
            <w:proofErr w:type="spellEnd"/>
            <w:r w:rsidRPr="0059729C">
              <w:rPr>
                <w:rFonts w:eastAsia="Times New Roman" w:cs="Times New Roman"/>
                <w:kern w:val="0"/>
                <w:szCs w:val="24"/>
                <w:lang w:eastAsia="lt-LT"/>
                <w14:ligatures w14:val="none"/>
              </w:rPr>
              <w:t xml:space="preserve"> mitybos, onkologinių vaistų, transfuzijai, infuzijai,  šviesai jautriems vaistams ir </w:t>
            </w:r>
            <w:proofErr w:type="spellStart"/>
            <w:r w:rsidRPr="0059729C">
              <w:rPr>
                <w:rFonts w:eastAsia="Times New Roman" w:cs="Times New Roman"/>
                <w:kern w:val="0"/>
                <w:szCs w:val="24"/>
                <w:lang w:eastAsia="lt-LT"/>
                <w14:ligatures w14:val="none"/>
              </w:rPr>
              <w:t>naujagymiams</w:t>
            </w:r>
            <w:proofErr w:type="spellEnd"/>
            <w:r w:rsidRPr="0059729C">
              <w:rPr>
                <w:rFonts w:eastAsia="Times New Roman" w:cs="Times New Roman"/>
                <w:kern w:val="0"/>
                <w:szCs w:val="24"/>
                <w:lang w:eastAsia="lt-LT"/>
                <w14:ligatures w14:val="none"/>
              </w:rPr>
              <w:t xml:space="preserve">) pritaikytas lašelines sistemas, skirtas infuzinėms tūrinėms pompoms su </w:t>
            </w:r>
            <w:proofErr w:type="spellStart"/>
            <w:r w:rsidRPr="0059729C">
              <w:rPr>
                <w:rFonts w:eastAsia="Times New Roman" w:cs="Times New Roman"/>
                <w:kern w:val="0"/>
                <w:szCs w:val="24"/>
                <w:lang w:eastAsia="lt-LT"/>
                <w14:ligatures w14:val="none"/>
              </w:rPr>
              <w:t>peristaltiniais</w:t>
            </w:r>
            <w:proofErr w:type="spellEnd"/>
            <w:r w:rsidRPr="0059729C">
              <w:rPr>
                <w:rFonts w:eastAsia="Times New Roman" w:cs="Times New Roman"/>
                <w:kern w:val="0"/>
                <w:szCs w:val="24"/>
                <w:lang w:eastAsia="lt-LT"/>
                <w14:ligatures w14:val="none"/>
              </w:rPr>
              <w:t xml:space="preserve"> </w:t>
            </w:r>
            <w:proofErr w:type="spellStart"/>
            <w:r w:rsidRPr="0059729C">
              <w:rPr>
                <w:rFonts w:eastAsia="Times New Roman" w:cs="Times New Roman"/>
                <w:kern w:val="0"/>
                <w:szCs w:val="24"/>
                <w:lang w:eastAsia="lt-LT"/>
                <w14:ligatures w14:val="none"/>
              </w:rPr>
              <w:t>pompavimo</w:t>
            </w:r>
            <w:proofErr w:type="spellEnd"/>
            <w:r w:rsidRPr="0059729C">
              <w:rPr>
                <w:rFonts w:eastAsia="Times New Roman" w:cs="Times New Roman"/>
                <w:kern w:val="0"/>
                <w:szCs w:val="24"/>
                <w:lang w:eastAsia="lt-LT"/>
                <w14:ligatures w14:val="none"/>
              </w:rPr>
              <w:t xml:space="preserve"> mechanizmais. Pompa automatiškai atpažįsta kokia sistema įdėta</w:t>
            </w:r>
          </w:p>
        </w:tc>
        <w:tc>
          <w:tcPr>
            <w:tcW w:w="1276" w:type="dxa"/>
            <w:tcBorders>
              <w:top w:val="nil"/>
              <w:left w:val="single" w:sz="8" w:space="0" w:color="auto"/>
              <w:bottom w:val="single" w:sz="8" w:space="0" w:color="auto"/>
              <w:right w:val="single" w:sz="8" w:space="0" w:color="auto"/>
            </w:tcBorders>
            <w:vAlign w:val="center"/>
            <w:hideMark/>
          </w:tcPr>
          <w:p w14:paraId="31754D72" w14:textId="77777777" w:rsidR="00944C94" w:rsidRPr="0059729C" w:rsidRDefault="00944C94" w:rsidP="00574556">
            <w:pPr>
              <w:jc w:val="center"/>
              <w:rPr>
                <w:rFonts w:eastAsia="Times New Roman" w:cs="Times New Roman"/>
                <w:kern w:val="0"/>
                <w:sz w:val="22"/>
                <w:lang w:eastAsia="lt-LT"/>
                <w14:ligatures w14:val="none"/>
              </w:rPr>
            </w:pPr>
            <w:r w:rsidRPr="0059729C">
              <w:rPr>
                <w:rFonts w:eastAsia="Times New Roman" w:cs="Times New Roman"/>
                <w:kern w:val="0"/>
                <w:sz w:val="22"/>
                <w:lang w:eastAsia="lt-LT"/>
                <w14:ligatures w14:val="none"/>
              </w:rPr>
              <w:t>Statinis:</w:t>
            </w:r>
            <w:r w:rsidRPr="0059729C">
              <w:rPr>
                <w:rFonts w:eastAsia="Times New Roman" w:cs="Times New Roman"/>
                <w:kern w:val="0"/>
                <w:sz w:val="22"/>
                <w:lang w:eastAsia="lt-LT"/>
                <w14:ligatures w14:val="none"/>
              </w:rPr>
              <w:br/>
              <w:t>(yra/nėra)</w:t>
            </w:r>
          </w:p>
        </w:tc>
        <w:tc>
          <w:tcPr>
            <w:tcW w:w="679" w:type="dxa"/>
            <w:tcBorders>
              <w:top w:val="nil"/>
              <w:left w:val="nil"/>
              <w:bottom w:val="single" w:sz="8" w:space="0" w:color="auto"/>
              <w:right w:val="single" w:sz="8" w:space="0" w:color="auto"/>
            </w:tcBorders>
            <w:vAlign w:val="center"/>
            <w:hideMark/>
          </w:tcPr>
          <w:p w14:paraId="7C28E255" w14:textId="77777777" w:rsidR="00944C94" w:rsidRPr="0024292B" w:rsidRDefault="00944C94" w:rsidP="00574556">
            <w:pPr>
              <w:rPr>
                <w:rFonts w:eastAsia="Times New Roman" w:cs="Times New Roman"/>
                <w:kern w:val="0"/>
                <w:sz w:val="22"/>
                <w:lang w:eastAsia="lt-LT"/>
                <w14:ligatures w14:val="none"/>
              </w:rPr>
            </w:pPr>
            <w:r w:rsidRPr="0024292B">
              <w:rPr>
                <w:rFonts w:eastAsia="Times New Roman" w:cs="Times New Roman"/>
                <w:kern w:val="0"/>
                <w:sz w:val="22"/>
                <w:lang w:eastAsia="lt-LT"/>
                <w14:ligatures w14:val="none"/>
              </w:rPr>
              <w:t>L1 =</w:t>
            </w:r>
          </w:p>
        </w:tc>
        <w:tc>
          <w:tcPr>
            <w:tcW w:w="601" w:type="dxa"/>
            <w:tcBorders>
              <w:top w:val="nil"/>
              <w:left w:val="nil"/>
              <w:bottom w:val="single" w:sz="8" w:space="0" w:color="auto"/>
              <w:right w:val="single" w:sz="8" w:space="0" w:color="auto"/>
            </w:tcBorders>
            <w:vAlign w:val="center"/>
            <w:hideMark/>
          </w:tcPr>
          <w:p w14:paraId="477FC180" w14:textId="77777777" w:rsidR="00944C94" w:rsidRPr="0024292B" w:rsidRDefault="00944C94" w:rsidP="00574556">
            <w:pPr>
              <w:jc w:val="center"/>
              <w:rPr>
                <w:rFonts w:eastAsia="Times New Roman" w:cs="Times New Roman"/>
                <w:kern w:val="0"/>
                <w:sz w:val="22"/>
                <w:lang w:eastAsia="lt-LT"/>
                <w14:ligatures w14:val="none"/>
              </w:rPr>
            </w:pPr>
            <w:r w:rsidRPr="0024292B">
              <w:rPr>
                <w:rFonts w:eastAsia="Times New Roman" w:cs="Times New Roman"/>
                <w:kern w:val="0"/>
                <w:sz w:val="22"/>
                <w:lang w:eastAsia="lt-LT"/>
                <w14:ligatures w14:val="none"/>
              </w:rPr>
              <w:t>0,</w:t>
            </w:r>
            <w:r>
              <w:rPr>
                <w:rFonts w:eastAsia="Times New Roman" w:cs="Times New Roman"/>
                <w:kern w:val="0"/>
                <w:sz w:val="22"/>
                <w:lang w:eastAsia="lt-LT"/>
                <w14:ligatures w14:val="none"/>
              </w:rPr>
              <w:t>15</w:t>
            </w:r>
          </w:p>
        </w:tc>
        <w:tc>
          <w:tcPr>
            <w:tcW w:w="2488" w:type="dxa"/>
            <w:gridSpan w:val="2"/>
            <w:tcBorders>
              <w:top w:val="single" w:sz="8" w:space="0" w:color="auto"/>
              <w:left w:val="nil"/>
              <w:bottom w:val="single" w:sz="8" w:space="0" w:color="auto"/>
              <w:right w:val="single" w:sz="8" w:space="0" w:color="000000"/>
            </w:tcBorders>
            <w:vAlign w:val="center"/>
            <w:hideMark/>
          </w:tcPr>
          <w:p w14:paraId="0B2F37A0" w14:textId="77777777" w:rsidR="00944C94" w:rsidRPr="00C028B8" w:rsidRDefault="00944C94" w:rsidP="00574556">
            <w:pPr>
              <w:jc w:val="center"/>
              <w:rPr>
                <w:rFonts w:eastAsia="Times New Roman" w:cs="Times New Roman"/>
                <w:kern w:val="0"/>
                <w:szCs w:val="24"/>
                <w:lang w:eastAsia="lt-LT"/>
                <w14:ligatures w14:val="none"/>
              </w:rPr>
            </w:pPr>
            <w:r w:rsidRPr="00C028B8">
              <w:rPr>
                <w:rFonts w:eastAsia="Times New Roman" w:cs="Times New Roman"/>
                <w:kern w:val="0"/>
                <w:szCs w:val="24"/>
                <w:lang w:eastAsia="lt-LT"/>
                <w14:ligatures w14:val="none"/>
              </w:rPr>
              <w:t xml:space="preserve">Įrašyti parametro vertę: </w:t>
            </w:r>
            <w:r w:rsidRPr="00C028B8">
              <w:rPr>
                <w:rFonts w:eastAsia="Times New Roman" w:cs="Times New Roman"/>
                <w:b/>
                <w:bCs/>
                <w:kern w:val="0"/>
                <w:szCs w:val="24"/>
                <w:lang w:eastAsia="lt-LT"/>
                <w14:ligatures w14:val="none"/>
              </w:rPr>
              <w:t>yra / nėra</w:t>
            </w:r>
          </w:p>
        </w:tc>
      </w:tr>
      <w:tr w:rsidR="00944C94" w:rsidRPr="00BA2D42" w14:paraId="7AFCAECE" w14:textId="77777777" w:rsidTr="00574556">
        <w:trPr>
          <w:trHeight w:val="990"/>
        </w:trPr>
        <w:tc>
          <w:tcPr>
            <w:tcW w:w="1496" w:type="dxa"/>
            <w:tcBorders>
              <w:top w:val="nil"/>
              <w:left w:val="single" w:sz="8" w:space="0" w:color="auto"/>
              <w:bottom w:val="single" w:sz="8" w:space="0" w:color="auto"/>
              <w:right w:val="nil"/>
            </w:tcBorders>
            <w:vAlign w:val="center"/>
            <w:hideMark/>
          </w:tcPr>
          <w:p w14:paraId="16700682" w14:textId="77777777" w:rsidR="00944C94" w:rsidRPr="0059729C" w:rsidRDefault="00944C94" w:rsidP="00574556">
            <w:pPr>
              <w:jc w:val="center"/>
              <w:rPr>
                <w:rFonts w:eastAsia="Times New Roman" w:cs="Times New Roman"/>
                <w:kern w:val="0"/>
                <w:szCs w:val="24"/>
                <w:lang w:eastAsia="lt-LT"/>
                <w14:ligatures w14:val="none"/>
              </w:rPr>
            </w:pPr>
            <w:r w:rsidRPr="0059729C">
              <w:rPr>
                <w:rFonts w:eastAsia="Times New Roman" w:cs="Times New Roman"/>
                <w:kern w:val="0"/>
                <w:szCs w:val="24"/>
                <w:lang w:eastAsia="lt-LT"/>
                <w14:ligatures w14:val="none"/>
              </w:rPr>
              <w:t>T2</w:t>
            </w:r>
          </w:p>
        </w:tc>
        <w:tc>
          <w:tcPr>
            <w:tcW w:w="3608" w:type="dxa"/>
            <w:tcBorders>
              <w:top w:val="nil"/>
              <w:left w:val="single" w:sz="8" w:space="0" w:color="auto"/>
              <w:bottom w:val="single" w:sz="8" w:space="0" w:color="auto"/>
              <w:right w:val="nil"/>
            </w:tcBorders>
            <w:hideMark/>
          </w:tcPr>
          <w:p w14:paraId="62B65FC6" w14:textId="77777777" w:rsidR="00944C94" w:rsidRPr="0059729C" w:rsidRDefault="00944C94" w:rsidP="00574556">
            <w:pPr>
              <w:rPr>
                <w:rFonts w:eastAsia="Times New Roman" w:cs="Times New Roman"/>
                <w:kern w:val="0"/>
                <w:szCs w:val="24"/>
                <w:lang w:eastAsia="lt-LT"/>
                <w14:ligatures w14:val="none"/>
              </w:rPr>
            </w:pPr>
            <w:r w:rsidRPr="0059729C">
              <w:rPr>
                <w:rFonts w:eastAsia="Times New Roman" w:cs="Times New Roman"/>
                <w:kern w:val="0"/>
                <w:szCs w:val="24"/>
                <w:lang w:eastAsia="lt-LT"/>
                <w14:ligatures w14:val="none"/>
              </w:rPr>
              <w:t>Baterijos veikimo laikas esant 100 ml/h ar didesniam greičiui ne trumpiau nei 11h</w:t>
            </w:r>
          </w:p>
        </w:tc>
        <w:tc>
          <w:tcPr>
            <w:tcW w:w="1276" w:type="dxa"/>
            <w:tcBorders>
              <w:top w:val="nil"/>
              <w:left w:val="single" w:sz="8" w:space="0" w:color="auto"/>
              <w:bottom w:val="single" w:sz="8" w:space="0" w:color="auto"/>
              <w:right w:val="single" w:sz="8" w:space="0" w:color="auto"/>
            </w:tcBorders>
            <w:vAlign w:val="center"/>
            <w:hideMark/>
          </w:tcPr>
          <w:p w14:paraId="098511C4" w14:textId="77777777" w:rsidR="00944C94" w:rsidRPr="0059729C" w:rsidRDefault="00944C94" w:rsidP="00574556">
            <w:pPr>
              <w:jc w:val="center"/>
              <w:rPr>
                <w:rFonts w:eastAsia="Times New Roman" w:cs="Times New Roman"/>
                <w:kern w:val="0"/>
                <w:sz w:val="22"/>
                <w:lang w:eastAsia="lt-LT"/>
                <w14:ligatures w14:val="none"/>
              </w:rPr>
            </w:pPr>
            <w:r w:rsidRPr="0059729C">
              <w:rPr>
                <w:rFonts w:eastAsia="Times New Roman" w:cs="Times New Roman"/>
                <w:kern w:val="0"/>
                <w:sz w:val="22"/>
                <w:lang w:eastAsia="lt-LT"/>
                <w14:ligatures w14:val="none"/>
              </w:rPr>
              <w:t>Statinis:</w:t>
            </w:r>
            <w:r w:rsidRPr="0059729C">
              <w:rPr>
                <w:rFonts w:eastAsia="Times New Roman" w:cs="Times New Roman"/>
                <w:kern w:val="0"/>
                <w:sz w:val="22"/>
                <w:lang w:eastAsia="lt-LT"/>
                <w14:ligatures w14:val="none"/>
              </w:rPr>
              <w:br/>
              <w:t>(yra/nėra)</w:t>
            </w:r>
          </w:p>
        </w:tc>
        <w:tc>
          <w:tcPr>
            <w:tcW w:w="679" w:type="dxa"/>
            <w:tcBorders>
              <w:top w:val="nil"/>
              <w:left w:val="nil"/>
              <w:bottom w:val="single" w:sz="8" w:space="0" w:color="auto"/>
              <w:right w:val="single" w:sz="8" w:space="0" w:color="auto"/>
            </w:tcBorders>
            <w:vAlign w:val="center"/>
            <w:hideMark/>
          </w:tcPr>
          <w:p w14:paraId="51072FB8" w14:textId="77777777" w:rsidR="00944C94" w:rsidRPr="0024292B" w:rsidRDefault="00944C94" w:rsidP="00574556">
            <w:pPr>
              <w:rPr>
                <w:rFonts w:eastAsia="Times New Roman" w:cs="Times New Roman"/>
                <w:kern w:val="0"/>
                <w:sz w:val="22"/>
                <w:lang w:eastAsia="lt-LT"/>
                <w14:ligatures w14:val="none"/>
              </w:rPr>
            </w:pPr>
            <w:r w:rsidRPr="0024292B">
              <w:rPr>
                <w:rFonts w:eastAsia="Times New Roman" w:cs="Times New Roman"/>
                <w:kern w:val="0"/>
                <w:sz w:val="22"/>
                <w:lang w:eastAsia="lt-LT"/>
                <w14:ligatures w14:val="none"/>
              </w:rPr>
              <w:t>L2 =</w:t>
            </w:r>
          </w:p>
        </w:tc>
        <w:tc>
          <w:tcPr>
            <w:tcW w:w="601" w:type="dxa"/>
            <w:tcBorders>
              <w:top w:val="nil"/>
              <w:left w:val="nil"/>
              <w:bottom w:val="single" w:sz="8" w:space="0" w:color="auto"/>
              <w:right w:val="single" w:sz="8" w:space="0" w:color="auto"/>
            </w:tcBorders>
            <w:vAlign w:val="center"/>
            <w:hideMark/>
          </w:tcPr>
          <w:p w14:paraId="1BBE836F" w14:textId="77777777" w:rsidR="00944C94" w:rsidRPr="0024292B" w:rsidRDefault="00944C94" w:rsidP="00574556">
            <w:pPr>
              <w:jc w:val="center"/>
              <w:rPr>
                <w:rFonts w:eastAsia="Times New Roman" w:cs="Times New Roman"/>
                <w:kern w:val="0"/>
                <w:sz w:val="22"/>
                <w:lang w:eastAsia="lt-LT"/>
                <w14:ligatures w14:val="none"/>
              </w:rPr>
            </w:pPr>
            <w:r w:rsidRPr="0024292B">
              <w:rPr>
                <w:rFonts w:eastAsia="Times New Roman" w:cs="Times New Roman"/>
                <w:kern w:val="0"/>
                <w:sz w:val="22"/>
                <w:lang w:eastAsia="lt-LT"/>
                <w14:ligatures w14:val="none"/>
              </w:rPr>
              <w:t>0,</w:t>
            </w:r>
            <w:r>
              <w:rPr>
                <w:rFonts w:eastAsia="Times New Roman" w:cs="Times New Roman"/>
                <w:kern w:val="0"/>
                <w:sz w:val="22"/>
                <w:lang w:eastAsia="lt-LT"/>
                <w14:ligatures w14:val="none"/>
              </w:rPr>
              <w:t>1</w:t>
            </w:r>
            <w:r w:rsidRPr="0024292B">
              <w:rPr>
                <w:rFonts w:eastAsia="Times New Roman" w:cs="Times New Roman"/>
                <w:kern w:val="0"/>
                <w:sz w:val="22"/>
                <w:lang w:eastAsia="lt-LT"/>
                <w14:ligatures w14:val="none"/>
              </w:rPr>
              <w:t>0</w:t>
            </w:r>
          </w:p>
        </w:tc>
        <w:tc>
          <w:tcPr>
            <w:tcW w:w="2488" w:type="dxa"/>
            <w:gridSpan w:val="2"/>
            <w:tcBorders>
              <w:top w:val="single" w:sz="8" w:space="0" w:color="auto"/>
              <w:left w:val="nil"/>
              <w:bottom w:val="single" w:sz="8" w:space="0" w:color="auto"/>
              <w:right w:val="single" w:sz="8" w:space="0" w:color="000000"/>
            </w:tcBorders>
            <w:vAlign w:val="center"/>
            <w:hideMark/>
          </w:tcPr>
          <w:p w14:paraId="76C4E7C7" w14:textId="77777777" w:rsidR="00944C94" w:rsidRPr="00C028B8" w:rsidRDefault="00944C94" w:rsidP="00574556">
            <w:pPr>
              <w:jc w:val="center"/>
              <w:rPr>
                <w:rFonts w:eastAsia="Times New Roman" w:cs="Times New Roman"/>
                <w:kern w:val="0"/>
                <w:szCs w:val="24"/>
                <w:lang w:eastAsia="lt-LT"/>
                <w14:ligatures w14:val="none"/>
              </w:rPr>
            </w:pPr>
            <w:r w:rsidRPr="00C028B8">
              <w:rPr>
                <w:rFonts w:eastAsia="Times New Roman" w:cs="Times New Roman"/>
                <w:kern w:val="0"/>
                <w:szCs w:val="24"/>
                <w:lang w:eastAsia="lt-LT"/>
                <w14:ligatures w14:val="none"/>
              </w:rPr>
              <w:t xml:space="preserve">Įrašyti parametro vertę: </w:t>
            </w:r>
            <w:r w:rsidRPr="00C028B8">
              <w:rPr>
                <w:rFonts w:eastAsia="Times New Roman" w:cs="Times New Roman"/>
                <w:b/>
                <w:bCs/>
                <w:kern w:val="0"/>
                <w:szCs w:val="24"/>
                <w:lang w:eastAsia="lt-LT"/>
                <w14:ligatures w14:val="none"/>
              </w:rPr>
              <w:t>yra / nėra</w:t>
            </w:r>
          </w:p>
        </w:tc>
      </w:tr>
      <w:tr w:rsidR="00944C94" w:rsidRPr="00BA2D42" w14:paraId="57BEE82D" w14:textId="77777777" w:rsidTr="00574556">
        <w:trPr>
          <w:trHeight w:val="990"/>
        </w:trPr>
        <w:tc>
          <w:tcPr>
            <w:tcW w:w="1496" w:type="dxa"/>
            <w:tcBorders>
              <w:top w:val="nil"/>
              <w:left w:val="single" w:sz="8" w:space="0" w:color="auto"/>
              <w:bottom w:val="single" w:sz="8" w:space="0" w:color="auto"/>
              <w:right w:val="nil"/>
            </w:tcBorders>
            <w:vAlign w:val="center"/>
            <w:hideMark/>
          </w:tcPr>
          <w:p w14:paraId="4ACB1C3B" w14:textId="77777777" w:rsidR="00944C94" w:rsidRPr="0059729C" w:rsidRDefault="00944C94" w:rsidP="00574556">
            <w:pPr>
              <w:jc w:val="center"/>
              <w:rPr>
                <w:rFonts w:eastAsia="Times New Roman" w:cs="Times New Roman"/>
                <w:kern w:val="0"/>
                <w:szCs w:val="24"/>
                <w:lang w:eastAsia="lt-LT"/>
                <w14:ligatures w14:val="none"/>
              </w:rPr>
            </w:pPr>
            <w:r w:rsidRPr="0059729C">
              <w:rPr>
                <w:rFonts w:eastAsia="Times New Roman" w:cs="Times New Roman"/>
                <w:kern w:val="0"/>
                <w:szCs w:val="24"/>
                <w:lang w:eastAsia="lt-LT"/>
                <w14:ligatures w14:val="none"/>
              </w:rPr>
              <w:t>T3</w:t>
            </w:r>
          </w:p>
        </w:tc>
        <w:tc>
          <w:tcPr>
            <w:tcW w:w="3608" w:type="dxa"/>
            <w:tcBorders>
              <w:top w:val="nil"/>
              <w:left w:val="single" w:sz="8" w:space="0" w:color="auto"/>
              <w:bottom w:val="single" w:sz="8" w:space="0" w:color="auto"/>
              <w:right w:val="nil"/>
            </w:tcBorders>
            <w:hideMark/>
          </w:tcPr>
          <w:p w14:paraId="6D06E5F6" w14:textId="77777777" w:rsidR="00944C94" w:rsidRPr="0059729C" w:rsidRDefault="00944C94" w:rsidP="00574556">
            <w:pPr>
              <w:rPr>
                <w:rFonts w:eastAsia="Times New Roman" w:cs="Times New Roman"/>
                <w:kern w:val="0"/>
                <w:szCs w:val="24"/>
                <w:lang w:eastAsia="lt-LT"/>
                <w14:ligatures w14:val="none"/>
              </w:rPr>
            </w:pPr>
            <w:r w:rsidRPr="0059729C">
              <w:rPr>
                <w:rFonts w:eastAsia="Times New Roman" w:cs="Times New Roman"/>
                <w:kern w:val="0"/>
                <w:szCs w:val="24"/>
                <w:lang w:eastAsia="lt-LT"/>
                <w14:ligatures w14:val="none"/>
              </w:rPr>
              <w:t>Apsauga nuo kietų objektų ir skysčių patekimo į prietaiso vidų IP44 klasė (arba aukštesnė);</w:t>
            </w:r>
          </w:p>
        </w:tc>
        <w:tc>
          <w:tcPr>
            <w:tcW w:w="1276" w:type="dxa"/>
            <w:tcBorders>
              <w:top w:val="nil"/>
              <w:left w:val="single" w:sz="8" w:space="0" w:color="auto"/>
              <w:bottom w:val="single" w:sz="8" w:space="0" w:color="auto"/>
              <w:right w:val="single" w:sz="8" w:space="0" w:color="auto"/>
            </w:tcBorders>
            <w:vAlign w:val="center"/>
            <w:hideMark/>
          </w:tcPr>
          <w:p w14:paraId="3CB1091A" w14:textId="77777777" w:rsidR="00944C94" w:rsidRPr="0059729C" w:rsidRDefault="00944C94" w:rsidP="00574556">
            <w:pPr>
              <w:jc w:val="center"/>
              <w:rPr>
                <w:rFonts w:eastAsia="Times New Roman" w:cs="Times New Roman"/>
                <w:kern w:val="0"/>
                <w:sz w:val="22"/>
                <w:lang w:eastAsia="lt-LT"/>
                <w14:ligatures w14:val="none"/>
              </w:rPr>
            </w:pPr>
            <w:r w:rsidRPr="0059729C">
              <w:rPr>
                <w:rFonts w:eastAsia="Times New Roman" w:cs="Times New Roman"/>
                <w:kern w:val="0"/>
                <w:sz w:val="22"/>
                <w:lang w:eastAsia="lt-LT"/>
                <w14:ligatures w14:val="none"/>
              </w:rPr>
              <w:t>Statinis:</w:t>
            </w:r>
            <w:r w:rsidRPr="0059729C">
              <w:rPr>
                <w:rFonts w:eastAsia="Times New Roman" w:cs="Times New Roman"/>
                <w:kern w:val="0"/>
                <w:sz w:val="22"/>
                <w:lang w:eastAsia="lt-LT"/>
                <w14:ligatures w14:val="none"/>
              </w:rPr>
              <w:br/>
              <w:t>(yra/nėra)</w:t>
            </w:r>
          </w:p>
        </w:tc>
        <w:tc>
          <w:tcPr>
            <w:tcW w:w="679" w:type="dxa"/>
            <w:tcBorders>
              <w:top w:val="nil"/>
              <w:left w:val="nil"/>
              <w:bottom w:val="single" w:sz="8" w:space="0" w:color="auto"/>
              <w:right w:val="single" w:sz="8" w:space="0" w:color="auto"/>
            </w:tcBorders>
            <w:vAlign w:val="center"/>
            <w:hideMark/>
          </w:tcPr>
          <w:p w14:paraId="6EB6F24D" w14:textId="77777777" w:rsidR="00944C94" w:rsidRPr="0024292B" w:rsidRDefault="00944C94" w:rsidP="00574556">
            <w:pPr>
              <w:rPr>
                <w:rFonts w:eastAsia="Times New Roman" w:cs="Times New Roman"/>
                <w:kern w:val="0"/>
                <w:sz w:val="22"/>
                <w:lang w:eastAsia="lt-LT"/>
                <w14:ligatures w14:val="none"/>
              </w:rPr>
            </w:pPr>
            <w:r w:rsidRPr="0024292B">
              <w:rPr>
                <w:rFonts w:eastAsia="Times New Roman" w:cs="Times New Roman"/>
                <w:kern w:val="0"/>
                <w:sz w:val="22"/>
                <w:lang w:eastAsia="lt-LT"/>
                <w14:ligatures w14:val="none"/>
              </w:rPr>
              <w:t>L3 =</w:t>
            </w:r>
          </w:p>
        </w:tc>
        <w:tc>
          <w:tcPr>
            <w:tcW w:w="601" w:type="dxa"/>
            <w:tcBorders>
              <w:top w:val="nil"/>
              <w:left w:val="nil"/>
              <w:bottom w:val="single" w:sz="8" w:space="0" w:color="auto"/>
              <w:right w:val="single" w:sz="8" w:space="0" w:color="auto"/>
            </w:tcBorders>
            <w:vAlign w:val="center"/>
            <w:hideMark/>
          </w:tcPr>
          <w:p w14:paraId="7B7A553A" w14:textId="77777777" w:rsidR="00944C94" w:rsidRPr="0024292B" w:rsidRDefault="00944C94" w:rsidP="00574556">
            <w:pPr>
              <w:jc w:val="center"/>
              <w:rPr>
                <w:rFonts w:eastAsia="Times New Roman" w:cs="Times New Roman"/>
                <w:kern w:val="0"/>
                <w:sz w:val="22"/>
                <w:lang w:eastAsia="lt-LT"/>
                <w14:ligatures w14:val="none"/>
              </w:rPr>
            </w:pPr>
            <w:r w:rsidRPr="0024292B">
              <w:rPr>
                <w:rFonts w:eastAsia="Times New Roman" w:cs="Times New Roman"/>
                <w:kern w:val="0"/>
                <w:sz w:val="22"/>
                <w:lang w:eastAsia="lt-LT"/>
                <w14:ligatures w14:val="none"/>
              </w:rPr>
              <w:t>0,35</w:t>
            </w:r>
          </w:p>
        </w:tc>
        <w:tc>
          <w:tcPr>
            <w:tcW w:w="2488" w:type="dxa"/>
            <w:gridSpan w:val="2"/>
            <w:tcBorders>
              <w:top w:val="single" w:sz="8" w:space="0" w:color="auto"/>
              <w:left w:val="nil"/>
              <w:bottom w:val="single" w:sz="8" w:space="0" w:color="auto"/>
              <w:right w:val="single" w:sz="8" w:space="0" w:color="000000"/>
            </w:tcBorders>
            <w:vAlign w:val="center"/>
            <w:hideMark/>
          </w:tcPr>
          <w:p w14:paraId="1F248995" w14:textId="77777777" w:rsidR="00944C94" w:rsidRPr="00C028B8" w:rsidRDefault="00944C94" w:rsidP="00574556">
            <w:pPr>
              <w:jc w:val="center"/>
              <w:rPr>
                <w:rFonts w:eastAsia="Times New Roman" w:cs="Times New Roman"/>
                <w:kern w:val="0"/>
                <w:szCs w:val="24"/>
                <w:lang w:eastAsia="lt-LT"/>
                <w14:ligatures w14:val="none"/>
              </w:rPr>
            </w:pPr>
            <w:r w:rsidRPr="00C028B8">
              <w:rPr>
                <w:rFonts w:eastAsia="Times New Roman" w:cs="Times New Roman"/>
                <w:kern w:val="0"/>
                <w:szCs w:val="24"/>
                <w:lang w:eastAsia="lt-LT"/>
                <w14:ligatures w14:val="none"/>
              </w:rPr>
              <w:t xml:space="preserve">Įrašyti parametro vertę: </w:t>
            </w:r>
            <w:r w:rsidRPr="00C028B8">
              <w:rPr>
                <w:rFonts w:eastAsia="Times New Roman" w:cs="Times New Roman"/>
                <w:b/>
                <w:bCs/>
                <w:kern w:val="0"/>
                <w:szCs w:val="24"/>
                <w:lang w:eastAsia="lt-LT"/>
                <w14:ligatures w14:val="none"/>
              </w:rPr>
              <w:t>yra / nėra</w:t>
            </w:r>
          </w:p>
        </w:tc>
      </w:tr>
      <w:tr w:rsidR="00944C94" w:rsidRPr="00BA2D42" w14:paraId="74C91E90" w14:textId="77777777" w:rsidTr="00574556">
        <w:trPr>
          <w:trHeight w:val="619"/>
        </w:trPr>
        <w:tc>
          <w:tcPr>
            <w:tcW w:w="1496" w:type="dxa"/>
            <w:tcBorders>
              <w:top w:val="nil"/>
              <w:left w:val="single" w:sz="8" w:space="0" w:color="auto"/>
              <w:bottom w:val="single" w:sz="8" w:space="0" w:color="auto"/>
              <w:right w:val="nil"/>
            </w:tcBorders>
            <w:vAlign w:val="center"/>
          </w:tcPr>
          <w:p w14:paraId="51DDF863" w14:textId="77777777" w:rsidR="00944C94" w:rsidRPr="0059729C" w:rsidRDefault="00944C94" w:rsidP="00574556">
            <w:pPr>
              <w:jc w:val="center"/>
              <w:rPr>
                <w:rFonts w:eastAsia="Times New Roman" w:cs="Times New Roman"/>
                <w:kern w:val="0"/>
                <w:szCs w:val="24"/>
                <w:lang w:eastAsia="lt-LT"/>
                <w14:ligatures w14:val="none"/>
              </w:rPr>
            </w:pPr>
            <w:r w:rsidRPr="0059729C">
              <w:rPr>
                <w:rFonts w:eastAsia="Times New Roman" w:cs="Times New Roman"/>
                <w:kern w:val="0"/>
                <w:szCs w:val="24"/>
                <w:lang w:eastAsia="lt-LT"/>
                <w14:ligatures w14:val="none"/>
              </w:rPr>
              <w:t>T4</w:t>
            </w:r>
          </w:p>
        </w:tc>
        <w:tc>
          <w:tcPr>
            <w:tcW w:w="3608" w:type="dxa"/>
            <w:tcBorders>
              <w:top w:val="nil"/>
              <w:left w:val="single" w:sz="8" w:space="0" w:color="auto"/>
              <w:bottom w:val="single" w:sz="8" w:space="0" w:color="auto"/>
              <w:right w:val="nil"/>
            </w:tcBorders>
          </w:tcPr>
          <w:p w14:paraId="4B8ED956" w14:textId="77777777" w:rsidR="00944C94" w:rsidRPr="0059729C" w:rsidRDefault="00944C94" w:rsidP="00574556">
            <w:pPr>
              <w:rPr>
                <w:rFonts w:eastAsia="Times New Roman" w:cs="Times New Roman"/>
                <w:kern w:val="0"/>
                <w:szCs w:val="24"/>
                <w:lang w:eastAsia="lt-LT"/>
                <w14:ligatures w14:val="none"/>
              </w:rPr>
            </w:pPr>
            <w:r w:rsidRPr="0059729C">
              <w:rPr>
                <w:rFonts w:eastAsia="Times New Roman" w:cs="Times New Roman"/>
                <w:kern w:val="0"/>
                <w:szCs w:val="24"/>
                <w:lang w:eastAsia="lt-LT"/>
                <w14:ligatures w14:val="none"/>
              </w:rPr>
              <w:t>Pompos meniu lietuvių kalba</w:t>
            </w:r>
          </w:p>
        </w:tc>
        <w:tc>
          <w:tcPr>
            <w:tcW w:w="1276" w:type="dxa"/>
            <w:tcBorders>
              <w:top w:val="nil"/>
              <w:left w:val="single" w:sz="8" w:space="0" w:color="auto"/>
              <w:bottom w:val="single" w:sz="8" w:space="0" w:color="auto"/>
              <w:right w:val="single" w:sz="8" w:space="0" w:color="auto"/>
            </w:tcBorders>
            <w:vAlign w:val="center"/>
          </w:tcPr>
          <w:p w14:paraId="42349D3F" w14:textId="77777777" w:rsidR="00944C94" w:rsidRPr="0059729C" w:rsidRDefault="00944C94" w:rsidP="00574556">
            <w:pPr>
              <w:jc w:val="center"/>
              <w:rPr>
                <w:rFonts w:eastAsia="Times New Roman" w:cs="Times New Roman"/>
                <w:kern w:val="0"/>
                <w:sz w:val="22"/>
                <w:lang w:eastAsia="lt-LT"/>
                <w14:ligatures w14:val="none"/>
              </w:rPr>
            </w:pPr>
            <w:r w:rsidRPr="0059729C">
              <w:rPr>
                <w:rFonts w:eastAsia="Times New Roman" w:cs="Times New Roman"/>
                <w:kern w:val="0"/>
                <w:sz w:val="22"/>
                <w:lang w:eastAsia="lt-LT"/>
                <w14:ligatures w14:val="none"/>
              </w:rPr>
              <w:t>Statinis:</w:t>
            </w:r>
            <w:r w:rsidRPr="0059729C">
              <w:rPr>
                <w:rFonts w:eastAsia="Times New Roman" w:cs="Times New Roman"/>
                <w:kern w:val="0"/>
                <w:sz w:val="22"/>
                <w:lang w:eastAsia="lt-LT"/>
                <w14:ligatures w14:val="none"/>
              </w:rPr>
              <w:br/>
              <w:t>(yra/nėra)</w:t>
            </w:r>
          </w:p>
        </w:tc>
        <w:tc>
          <w:tcPr>
            <w:tcW w:w="679" w:type="dxa"/>
            <w:tcBorders>
              <w:top w:val="nil"/>
              <w:left w:val="nil"/>
              <w:bottom w:val="single" w:sz="8" w:space="0" w:color="auto"/>
              <w:right w:val="single" w:sz="8" w:space="0" w:color="auto"/>
            </w:tcBorders>
            <w:vAlign w:val="center"/>
          </w:tcPr>
          <w:p w14:paraId="77814E07" w14:textId="77777777" w:rsidR="00944C94" w:rsidRPr="00BA2D42" w:rsidRDefault="00944C94" w:rsidP="00574556">
            <w:pPr>
              <w:rPr>
                <w:rFonts w:eastAsia="Times New Roman" w:cs="Times New Roman"/>
                <w:kern w:val="0"/>
                <w:sz w:val="22"/>
                <w:highlight w:val="yellow"/>
                <w:lang w:eastAsia="lt-LT"/>
                <w14:ligatures w14:val="none"/>
              </w:rPr>
            </w:pPr>
            <w:r w:rsidRPr="0024292B">
              <w:rPr>
                <w:rFonts w:eastAsia="Times New Roman" w:cs="Times New Roman"/>
                <w:kern w:val="0"/>
                <w:sz w:val="22"/>
                <w:lang w:eastAsia="lt-LT"/>
                <w14:ligatures w14:val="none"/>
              </w:rPr>
              <w:t>L4 =</w:t>
            </w:r>
          </w:p>
        </w:tc>
        <w:tc>
          <w:tcPr>
            <w:tcW w:w="601" w:type="dxa"/>
            <w:tcBorders>
              <w:top w:val="nil"/>
              <w:left w:val="nil"/>
              <w:bottom w:val="single" w:sz="8" w:space="0" w:color="auto"/>
              <w:right w:val="single" w:sz="8" w:space="0" w:color="auto"/>
            </w:tcBorders>
            <w:vAlign w:val="center"/>
          </w:tcPr>
          <w:p w14:paraId="369B6212" w14:textId="77777777" w:rsidR="00944C94" w:rsidRPr="0024292B" w:rsidRDefault="00944C94" w:rsidP="00574556">
            <w:pPr>
              <w:jc w:val="center"/>
              <w:rPr>
                <w:rFonts w:eastAsia="Times New Roman" w:cs="Times New Roman"/>
                <w:kern w:val="0"/>
                <w:sz w:val="22"/>
                <w:lang w:eastAsia="lt-LT"/>
                <w14:ligatures w14:val="none"/>
              </w:rPr>
            </w:pPr>
            <w:r w:rsidRPr="0024292B">
              <w:rPr>
                <w:rFonts w:eastAsia="Times New Roman" w:cs="Times New Roman"/>
                <w:kern w:val="0"/>
                <w:sz w:val="22"/>
                <w:lang w:eastAsia="lt-LT"/>
                <w14:ligatures w14:val="none"/>
              </w:rPr>
              <w:t>0,20</w:t>
            </w:r>
          </w:p>
        </w:tc>
        <w:tc>
          <w:tcPr>
            <w:tcW w:w="2488" w:type="dxa"/>
            <w:gridSpan w:val="2"/>
            <w:tcBorders>
              <w:top w:val="single" w:sz="8" w:space="0" w:color="auto"/>
              <w:left w:val="nil"/>
              <w:bottom w:val="single" w:sz="8" w:space="0" w:color="auto"/>
              <w:right w:val="single" w:sz="8" w:space="0" w:color="000000"/>
            </w:tcBorders>
            <w:vAlign w:val="center"/>
          </w:tcPr>
          <w:p w14:paraId="020E2C60" w14:textId="77777777" w:rsidR="00944C94" w:rsidRPr="00BA2D42" w:rsidRDefault="00944C94" w:rsidP="00574556">
            <w:pPr>
              <w:jc w:val="center"/>
              <w:rPr>
                <w:rFonts w:eastAsia="Times New Roman" w:cs="Times New Roman"/>
                <w:kern w:val="0"/>
                <w:szCs w:val="24"/>
                <w:highlight w:val="yellow"/>
                <w:lang w:eastAsia="lt-LT"/>
                <w14:ligatures w14:val="none"/>
              </w:rPr>
            </w:pPr>
            <w:r w:rsidRPr="00C028B8">
              <w:rPr>
                <w:rFonts w:eastAsia="Times New Roman" w:cs="Times New Roman"/>
                <w:kern w:val="0"/>
                <w:szCs w:val="24"/>
                <w:lang w:eastAsia="lt-LT"/>
                <w14:ligatures w14:val="none"/>
              </w:rPr>
              <w:t xml:space="preserve">Įrašyti parametro vertę: </w:t>
            </w:r>
            <w:r w:rsidRPr="00C028B8">
              <w:rPr>
                <w:rFonts w:eastAsia="Times New Roman" w:cs="Times New Roman"/>
                <w:b/>
                <w:bCs/>
                <w:kern w:val="0"/>
                <w:szCs w:val="24"/>
                <w:lang w:eastAsia="lt-LT"/>
                <w14:ligatures w14:val="none"/>
              </w:rPr>
              <w:t>yra / nėra</w:t>
            </w:r>
          </w:p>
        </w:tc>
      </w:tr>
      <w:tr w:rsidR="00944C94" w:rsidRPr="00BA2D42" w14:paraId="2FB5CB88" w14:textId="77777777" w:rsidTr="00574556">
        <w:trPr>
          <w:trHeight w:val="990"/>
        </w:trPr>
        <w:tc>
          <w:tcPr>
            <w:tcW w:w="1496" w:type="dxa"/>
            <w:tcBorders>
              <w:top w:val="nil"/>
              <w:left w:val="single" w:sz="8" w:space="0" w:color="auto"/>
              <w:bottom w:val="single" w:sz="8" w:space="0" w:color="auto"/>
              <w:right w:val="nil"/>
            </w:tcBorders>
            <w:vAlign w:val="center"/>
          </w:tcPr>
          <w:p w14:paraId="62A6634A" w14:textId="77777777" w:rsidR="00944C94" w:rsidRPr="0059729C" w:rsidRDefault="00944C94" w:rsidP="00574556">
            <w:pPr>
              <w:jc w:val="center"/>
              <w:rPr>
                <w:rFonts w:eastAsia="Times New Roman" w:cs="Times New Roman"/>
                <w:kern w:val="0"/>
                <w:szCs w:val="24"/>
                <w:lang w:eastAsia="lt-LT"/>
                <w14:ligatures w14:val="none"/>
              </w:rPr>
            </w:pPr>
            <w:r w:rsidRPr="0059729C">
              <w:rPr>
                <w:rFonts w:eastAsia="Times New Roman" w:cs="Times New Roman"/>
                <w:kern w:val="0"/>
                <w:szCs w:val="24"/>
                <w:lang w:eastAsia="lt-LT"/>
                <w14:ligatures w14:val="none"/>
              </w:rPr>
              <w:t>T5</w:t>
            </w:r>
          </w:p>
        </w:tc>
        <w:tc>
          <w:tcPr>
            <w:tcW w:w="3608" w:type="dxa"/>
            <w:tcBorders>
              <w:top w:val="nil"/>
              <w:left w:val="single" w:sz="8" w:space="0" w:color="auto"/>
              <w:bottom w:val="single" w:sz="8" w:space="0" w:color="auto"/>
              <w:right w:val="nil"/>
            </w:tcBorders>
          </w:tcPr>
          <w:p w14:paraId="243BEAB9" w14:textId="77777777" w:rsidR="00944C94" w:rsidRPr="0059729C" w:rsidRDefault="00944C94" w:rsidP="00574556">
            <w:pPr>
              <w:rPr>
                <w:rFonts w:eastAsia="Times New Roman" w:cs="Times New Roman"/>
                <w:kern w:val="0"/>
                <w:szCs w:val="24"/>
                <w:lang w:eastAsia="lt-LT"/>
                <w14:ligatures w14:val="none"/>
              </w:rPr>
            </w:pPr>
            <w:r w:rsidRPr="0059729C">
              <w:rPr>
                <w:rFonts w:eastAsia="Times New Roman" w:cs="Times New Roman"/>
                <w:kern w:val="0"/>
                <w:szCs w:val="24"/>
                <w:lang w:eastAsia="lt-LT"/>
                <w14:ligatures w14:val="none"/>
              </w:rPr>
              <w:t>Jungtis (-</w:t>
            </w:r>
            <w:proofErr w:type="spellStart"/>
            <w:r w:rsidRPr="0059729C">
              <w:rPr>
                <w:rFonts w:eastAsia="Times New Roman" w:cs="Times New Roman"/>
                <w:kern w:val="0"/>
                <w:szCs w:val="24"/>
                <w:lang w:eastAsia="lt-LT"/>
                <w14:ligatures w14:val="none"/>
              </w:rPr>
              <w:t>ys</w:t>
            </w:r>
            <w:proofErr w:type="spellEnd"/>
            <w:r w:rsidRPr="0059729C">
              <w:rPr>
                <w:rFonts w:eastAsia="Times New Roman" w:cs="Times New Roman"/>
                <w:kern w:val="0"/>
                <w:szCs w:val="24"/>
                <w:lang w:eastAsia="lt-LT"/>
                <w14:ligatures w14:val="none"/>
              </w:rPr>
              <w:t xml:space="preserve">) paciento kontroliuojamos </w:t>
            </w:r>
            <w:proofErr w:type="spellStart"/>
            <w:r w:rsidRPr="0059729C">
              <w:rPr>
                <w:rFonts w:eastAsia="Times New Roman" w:cs="Times New Roman"/>
                <w:kern w:val="0"/>
                <w:szCs w:val="24"/>
                <w:lang w:eastAsia="lt-LT"/>
                <w14:ligatures w14:val="none"/>
              </w:rPr>
              <w:t>analgezijos</w:t>
            </w:r>
            <w:proofErr w:type="spellEnd"/>
            <w:r w:rsidRPr="0059729C">
              <w:rPr>
                <w:rFonts w:eastAsia="Times New Roman" w:cs="Times New Roman"/>
                <w:kern w:val="0"/>
                <w:szCs w:val="24"/>
                <w:lang w:eastAsia="lt-LT"/>
                <w14:ligatures w14:val="none"/>
              </w:rPr>
              <w:t xml:space="preserve"> (PKA) valdymo jungiklio prijungimui;</w:t>
            </w:r>
          </w:p>
        </w:tc>
        <w:tc>
          <w:tcPr>
            <w:tcW w:w="1276" w:type="dxa"/>
            <w:tcBorders>
              <w:top w:val="nil"/>
              <w:left w:val="single" w:sz="8" w:space="0" w:color="auto"/>
              <w:bottom w:val="single" w:sz="8" w:space="0" w:color="auto"/>
              <w:right w:val="single" w:sz="8" w:space="0" w:color="auto"/>
            </w:tcBorders>
            <w:vAlign w:val="center"/>
          </w:tcPr>
          <w:p w14:paraId="29A870B5" w14:textId="77777777" w:rsidR="00944C94" w:rsidRPr="0059729C" w:rsidRDefault="00944C94" w:rsidP="00574556">
            <w:pPr>
              <w:jc w:val="center"/>
              <w:rPr>
                <w:rFonts w:eastAsia="Times New Roman" w:cs="Times New Roman"/>
                <w:kern w:val="0"/>
                <w:sz w:val="22"/>
                <w:lang w:eastAsia="lt-LT"/>
                <w14:ligatures w14:val="none"/>
              </w:rPr>
            </w:pPr>
            <w:r w:rsidRPr="0059729C">
              <w:rPr>
                <w:rFonts w:eastAsia="Times New Roman" w:cs="Times New Roman"/>
                <w:kern w:val="0"/>
                <w:sz w:val="22"/>
                <w:lang w:eastAsia="lt-LT"/>
                <w14:ligatures w14:val="none"/>
              </w:rPr>
              <w:t>Statinis:</w:t>
            </w:r>
            <w:r w:rsidRPr="0059729C">
              <w:rPr>
                <w:rFonts w:eastAsia="Times New Roman" w:cs="Times New Roman"/>
                <w:kern w:val="0"/>
                <w:sz w:val="22"/>
                <w:lang w:eastAsia="lt-LT"/>
                <w14:ligatures w14:val="none"/>
              </w:rPr>
              <w:br/>
              <w:t>(yra/nėra)</w:t>
            </w:r>
          </w:p>
        </w:tc>
        <w:tc>
          <w:tcPr>
            <w:tcW w:w="679" w:type="dxa"/>
            <w:tcBorders>
              <w:top w:val="nil"/>
              <w:left w:val="nil"/>
              <w:bottom w:val="single" w:sz="8" w:space="0" w:color="auto"/>
              <w:right w:val="single" w:sz="8" w:space="0" w:color="auto"/>
            </w:tcBorders>
            <w:vAlign w:val="center"/>
          </w:tcPr>
          <w:p w14:paraId="3DF89DC1" w14:textId="77777777" w:rsidR="00944C94" w:rsidRPr="00BA2D42" w:rsidRDefault="00944C94" w:rsidP="00574556">
            <w:pPr>
              <w:rPr>
                <w:rFonts w:eastAsia="Times New Roman" w:cs="Times New Roman"/>
                <w:kern w:val="0"/>
                <w:sz w:val="22"/>
                <w:highlight w:val="yellow"/>
                <w:lang w:eastAsia="lt-LT"/>
                <w14:ligatures w14:val="none"/>
              </w:rPr>
            </w:pPr>
            <w:r w:rsidRPr="0024292B">
              <w:rPr>
                <w:rFonts w:eastAsia="Times New Roman" w:cs="Times New Roman"/>
                <w:kern w:val="0"/>
                <w:sz w:val="22"/>
                <w:lang w:eastAsia="lt-LT"/>
                <w14:ligatures w14:val="none"/>
              </w:rPr>
              <w:t>L</w:t>
            </w:r>
            <w:r>
              <w:rPr>
                <w:rFonts w:eastAsia="Times New Roman" w:cs="Times New Roman"/>
                <w:kern w:val="0"/>
                <w:sz w:val="22"/>
                <w:lang w:eastAsia="lt-LT"/>
                <w14:ligatures w14:val="none"/>
              </w:rPr>
              <w:t>5</w:t>
            </w:r>
            <w:r w:rsidRPr="0024292B">
              <w:rPr>
                <w:rFonts w:eastAsia="Times New Roman" w:cs="Times New Roman"/>
                <w:kern w:val="0"/>
                <w:sz w:val="22"/>
                <w:lang w:eastAsia="lt-LT"/>
                <w14:ligatures w14:val="none"/>
              </w:rPr>
              <w:t xml:space="preserve"> =</w:t>
            </w:r>
          </w:p>
        </w:tc>
        <w:tc>
          <w:tcPr>
            <w:tcW w:w="601" w:type="dxa"/>
            <w:tcBorders>
              <w:top w:val="nil"/>
              <w:left w:val="nil"/>
              <w:bottom w:val="single" w:sz="8" w:space="0" w:color="auto"/>
              <w:right w:val="single" w:sz="8" w:space="0" w:color="auto"/>
            </w:tcBorders>
            <w:vAlign w:val="center"/>
          </w:tcPr>
          <w:p w14:paraId="05C8D254" w14:textId="77777777" w:rsidR="00944C94" w:rsidRPr="0024292B" w:rsidRDefault="00944C94" w:rsidP="00574556">
            <w:pPr>
              <w:jc w:val="center"/>
              <w:rPr>
                <w:rFonts w:eastAsia="Times New Roman" w:cs="Times New Roman"/>
                <w:kern w:val="0"/>
                <w:sz w:val="22"/>
                <w:lang w:eastAsia="lt-LT"/>
                <w14:ligatures w14:val="none"/>
              </w:rPr>
            </w:pPr>
            <w:r w:rsidRPr="0024292B">
              <w:rPr>
                <w:rFonts w:eastAsia="Times New Roman" w:cs="Times New Roman"/>
                <w:kern w:val="0"/>
                <w:sz w:val="22"/>
                <w:lang w:eastAsia="lt-LT"/>
                <w14:ligatures w14:val="none"/>
              </w:rPr>
              <w:t>0,10</w:t>
            </w:r>
          </w:p>
        </w:tc>
        <w:tc>
          <w:tcPr>
            <w:tcW w:w="2488" w:type="dxa"/>
            <w:gridSpan w:val="2"/>
            <w:tcBorders>
              <w:top w:val="single" w:sz="8" w:space="0" w:color="auto"/>
              <w:left w:val="nil"/>
              <w:bottom w:val="single" w:sz="8" w:space="0" w:color="auto"/>
              <w:right w:val="single" w:sz="8" w:space="0" w:color="000000"/>
            </w:tcBorders>
            <w:vAlign w:val="center"/>
          </w:tcPr>
          <w:p w14:paraId="0439927F" w14:textId="77777777" w:rsidR="00944C94" w:rsidRPr="00BA2D42" w:rsidRDefault="00944C94" w:rsidP="00574556">
            <w:pPr>
              <w:jc w:val="center"/>
              <w:rPr>
                <w:rFonts w:eastAsia="Times New Roman" w:cs="Times New Roman"/>
                <w:kern w:val="0"/>
                <w:szCs w:val="24"/>
                <w:highlight w:val="yellow"/>
                <w:lang w:eastAsia="lt-LT"/>
                <w14:ligatures w14:val="none"/>
              </w:rPr>
            </w:pPr>
            <w:r w:rsidRPr="00C028B8">
              <w:rPr>
                <w:rFonts w:eastAsia="Times New Roman" w:cs="Times New Roman"/>
                <w:kern w:val="0"/>
                <w:szCs w:val="24"/>
                <w:lang w:eastAsia="lt-LT"/>
                <w14:ligatures w14:val="none"/>
              </w:rPr>
              <w:t xml:space="preserve">Įrašyti parametro vertę: </w:t>
            </w:r>
            <w:r w:rsidRPr="00C028B8">
              <w:rPr>
                <w:rFonts w:eastAsia="Times New Roman" w:cs="Times New Roman"/>
                <w:b/>
                <w:bCs/>
                <w:kern w:val="0"/>
                <w:szCs w:val="24"/>
                <w:lang w:eastAsia="lt-LT"/>
                <w14:ligatures w14:val="none"/>
              </w:rPr>
              <w:t>yra / nėra</w:t>
            </w:r>
          </w:p>
        </w:tc>
      </w:tr>
      <w:tr w:rsidR="00944C94" w:rsidRPr="00BA2D42" w14:paraId="792E1314" w14:textId="77777777" w:rsidTr="00574556">
        <w:trPr>
          <w:trHeight w:val="990"/>
        </w:trPr>
        <w:tc>
          <w:tcPr>
            <w:tcW w:w="1496" w:type="dxa"/>
            <w:tcBorders>
              <w:top w:val="nil"/>
              <w:left w:val="single" w:sz="8" w:space="0" w:color="auto"/>
              <w:bottom w:val="single" w:sz="8" w:space="0" w:color="auto"/>
              <w:right w:val="nil"/>
            </w:tcBorders>
            <w:vAlign w:val="center"/>
          </w:tcPr>
          <w:p w14:paraId="6C4DFF7D" w14:textId="77777777" w:rsidR="00944C94" w:rsidRPr="0059729C" w:rsidRDefault="00944C94" w:rsidP="00574556">
            <w:pPr>
              <w:jc w:val="center"/>
              <w:rPr>
                <w:rFonts w:eastAsia="Times New Roman" w:cs="Times New Roman"/>
                <w:kern w:val="0"/>
                <w:szCs w:val="24"/>
                <w:lang w:eastAsia="lt-LT"/>
                <w14:ligatures w14:val="none"/>
              </w:rPr>
            </w:pPr>
            <w:r w:rsidRPr="0059729C">
              <w:rPr>
                <w:rFonts w:eastAsia="Times New Roman" w:cs="Times New Roman"/>
                <w:kern w:val="0"/>
                <w:szCs w:val="24"/>
                <w:lang w:eastAsia="lt-LT"/>
                <w14:ligatures w14:val="none"/>
              </w:rPr>
              <w:lastRenderedPageBreak/>
              <w:t>T6</w:t>
            </w:r>
          </w:p>
        </w:tc>
        <w:tc>
          <w:tcPr>
            <w:tcW w:w="3608" w:type="dxa"/>
            <w:tcBorders>
              <w:top w:val="nil"/>
              <w:left w:val="single" w:sz="8" w:space="0" w:color="auto"/>
              <w:bottom w:val="single" w:sz="8" w:space="0" w:color="auto"/>
              <w:right w:val="nil"/>
            </w:tcBorders>
          </w:tcPr>
          <w:p w14:paraId="074F4B82" w14:textId="77777777" w:rsidR="00944C94" w:rsidRPr="0059729C" w:rsidRDefault="00944C94" w:rsidP="00574556">
            <w:pPr>
              <w:rPr>
                <w:rFonts w:eastAsia="Times New Roman" w:cs="Times New Roman"/>
                <w:kern w:val="0"/>
                <w:szCs w:val="24"/>
                <w:lang w:eastAsia="lt-LT"/>
                <w14:ligatures w14:val="none"/>
              </w:rPr>
            </w:pPr>
            <w:r w:rsidRPr="0059729C">
              <w:rPr>
                <w:rFonts w:eastAsia="Times New Roman" w:cs="Times New Roman"/>
                <w:kern w:val="0"/>
                <w:szCs w:val="24"/>
                <w:lang w:eastAsia="lt-LT"/>
                <w14:ligatures w14:val="none"/>
              </w:rPr>
              <w:t>Oro burbulų nustatymas - Aptinka oro burbulus iki 0,010 ml tūrio arba mažesnius</w:t>
            </w:r>
          </w:p>
        </w:tc>
        <w:tc>
          <w:tcPr>
            <w:tcW w:w="1276" w:type="dxa"/>
            <w:tcBorders>
              <w:top w:val="nil"/>
              <w:left w:val="single" w:sz="8" w:space="0" w:color="auto"/>
              <w:bottom w:val="single" w:sz="8" w:space="0" w:color="auto"/>
              <w:right w:val="single" w:sz="8" w:space="0" w:color="auto"/>
            </w:tcBorders>
            <w:vAlign w:val="center"/>
          </w:tcPr>
          <w:p w14:paraId="08107FB0" w14:textId="77777777" w:rsidR="00944C94" w:rsidRPr="0059729C" w:rsidRDefault="00944C94" w:rsidP="00574556">
            <w:pPr>
              <w:jc w:val="center"/>
              <w:rPr>
                <w:rFonts w:eastAsia="Times New Roman" w:cs="Times New Roman"/>
                <w:kern w:val="0"/>
                <w:sz w:val="22"/>
                <w:lang w:eastAsia="lt-LT"/>
                <w14:ligatures w14:val="none"/>
              </w:rPr>
            </w:pPr>
            <w:r w:rsidRPr="0059729C">
              <w:rPr>
                <w:rFonts w:eastAsia="Times New Roman" w:cs="Times New Roman"/>
                <w:kern w:val="0"/>
                <w:sz w:val="22"/>
                <w:lang w:eastAsia="lt-LT"/>
                <w14:ligatures w14:val="none"/>
              </w:rPr>
              <w:t>Statinis:</w:t>
            </w:r>
            <w:r w:rsidRPr="0059729C">
              <w:rPr>
                <w:rFonts w:eastAsia="Times New Roman" w:cs="Times New Roman"/>
                <w:kern w:val="0"/>
                <w:sz w:val="22"/>
                <w:lang w:eastAsia="lt-LT"/>
                <w14:ligatures w14:val="none"/>
              </w:rPr>
              <w:br/>
              <w:t>(yra/nėra)</w:t>
            </w:r>
          </w:p>
        </w:tc>
        <w:tc>
          <w:tcPr>
            <w:tcW w:w="679" w:type="dxa"/>
            <w:tcBorders>
              <w:top w:val="nil"/>
              <w:left w:val="nil"/>
              <w:bottom w:val="single" w:sz="8" w:space="0" w:color="auto"/>
              <w:right w:val="single" w:sz="8" w:space="0" w:color="auto"/>
            </w:tcBorders>
            <w:vAlign w:val="center"/>
          </w:tcPr>
          <w:p w14:paraId="7BFF4505" w14:textId="77777777" w:rsidR="00944C94" w:rsidRPr="00BA2D42" w:rsidRDefault="00944C94" w:rsidP="00574556">
            <w:pPr>
              <w:rPr>
                <w:rFonts w:eastAsia="Times New Roman" w:cs="Times New Roman"/>
                <w:kern w:val="0"/>
                <w:sz w:val="22"/>
                <w:highlight w:val="yellow"/>
                <w:lang w:eastAsia="lt-LT"/>
                <w14:ligatures w14:val="none"/>
              </w:rPr>
            </w:pPr>
            <w:r w:rsidRPr="0024292B">
              <w:rPr>
                <w:rFonts w:eastAsia="Times New Roman" w:cs="Times New Roman"/>
                <w:kern w:val="0"/>
                <w:sz w:val="22"/>
                <w:lang w:eastAsia="lt-LT"/>
                <w14:ligatures w14:val="none"/>
              </w:rPr>
              <w:t>L</w:t>
            </w:r>
            <w:r>
              <w:rPr>
                <w:rFonts w:eastAsia="Times New Roman" w:cs="Times New Roman"/>
                <w:kern w:val="0"/>
                <w:sz w:val="22"/>
                <w:lang w:eastAsia="lt-LT"/>
                <w14:ligatures w14:val="none"/>
              </w:rPr>
              <w:t>6</w:t>
            </w:r>
            <w:r w:rsidRPr="0024292B">
              <w:rPr>
                <w:rFonts w:eastAsia="Times New Roman" w:cs="Times New Roman"/>
                <w:kern w:val="0"/>
                <w:sz w:val="22"/>
                <w:lang w:eastAsia="lt-LT"/>
                <w14:ligatures w14:val="none"/>
              </w:rPr>
              <w:t xml:space="preserve"> =</w:t>
            </w:r>
          </w:p>
        </w:tc>
        <w:tc>
          <w:tcPr>
            <w:tcW w:w="601" w:type="dxa"/>
            <w:tcBorders>
              <w:top w:val="nil"/>
              <w:left w:val="nil"/>
              <w:bottom w:val="single" w:sz="8" w:space="0" w:color="auto"/>
              <w:right w:val="single" w:sz="8" w:space="0" w:color="auto"/>
            </w:tcBorders>
            <w:vAlign w:val="center"/>
          </w:tcPr>
          <w:p w14:paraId="0B07D8F7" w14:textId="77777777" w:rsidR="00944C94" w:rsidRPr="0024292B" w:rsidRDefault="00944C94" w:rsidP="00574556">
            <w:pPr>
              <w:jc w:val="center"/>
              <w:rPr>
                <w:rFonts w:eastAsia="Times New Roman" w:cs="Times New Roman"/>
                <w:kern w:val="0"/>
                <w:sz w:val="22"/>
                <w:lang w:eastAsia="lt-LT"/>
                <w14:ligatures w14:val="none"/>
              </w:rPr>
            </w:pPr>
            <w:r w:rsidRPr="0024292B">
              <w:rPr>
                <w:rFonts w:eastAsia="Times New Roman" w:cs="Times New Roman"/>
                <w:kern w:val="0"/>
                <w:sz w:val="22"/>
                <w:lang w:eastAsia="lt-LT"/>
                <w14:ligatures w14:val="none"/>
              </w:rPr>
              <w:t>0,10</w:t>
            </w:r>
          </w:p>
        </w:tc>
        <w:tc>
          <w:tcPr>
            <w:tcW w:w="2488" w:type="dxa"/>
            <w:gridSpan w:val="2"/>
            <w:tcBorders>
              <w:top w:val="single" w:sz="8" w:space="0" w:color="auto"/>
              <w:left w:val="nil"/>
              <w:bottom w:val="single" w:sz="8" w:space="0" w:color="auto"/>
              <w:right w:val="single" w:sz="8" w:space="0" w:color="000000"/>
            </w:tcBorders>
            <w:vAlign w:val="center"/>
          </w:tcPr>
          <w:p w14:paraId="471B30DB" w14:textId="77777777" w:rsidR="00944C94" w:rsidRPr="00BA2D42" w:rsidRDefault="00944C94" w:rsidP="00574556">
            <w:pPr>
              <w:jc w:val="center"/>
              <w:rPr>
                <w:rFonts w:eastAsia="Times New Roman" w:cs="Times New Roman"/>
                <w:kern w:val="0"/>
                <w:szCs w:val="24"/>
                <w:highlight w:val="yellow"/>
                <w:lang w:eastAsia="lt-LT"/>
                <w14:ligatures w14:val="none"/>
              </w:rPr>
            </w:pPr>
            <w:r w:rsidRPr="00C028B8">
              <w:rPr>
                <w:rFonts w:eastAsia="Times New Roman" w:cs="Times New Roman"/>
                <w:kern w:val="0"/>
                <w:szCs w:val="24"/>
                <w:lang w:eastAsia="lt-LT"/>
                <w14:ligatures w14:val="none"/>
              </w:rPr>
              <w:t xml:space="preserve">Įrašyti parametro vertę: </w:t>
            </w:r>
            <w:r w:rsidRPr="00C028B8">
              <w:rPr>
                <w:rFonts w:eastAsia="Times New Roman" w:cs="Times New Roman"/>
                <w:b/>
                <w:bCs/>
                <w:kern w:val="0"/>
                <w:szCs w:val="24"/>
                <w:lang w:eastAsia="lt-LT"/>
                <w14:ligatures w14:val="none"/>
              </w:rPr>
              <w:t>yra / nėra</w:t>
            </w:r>
          </w:p>
        </w:tc>
      </w:tr>
      <w:tr w:rsidR="00944C94" w:rsidRPr="00BA2D42" w14:paraId="51680695" w14:textId="77777777" w:rsidTr="00574556">
        <w:trPr>
          <w:trHeight w:val="960"/>
        </w:trPr>
        <w:tc>
          <w:tcPr>
            <w:tcW w:w="1496" w:type="dxa"/>
            <w:tcBorders>
              <w:top w:val="nil"/>
              <w:left w:val="single" w:sz="8" w:space="0" w:color="auto"/>
              <w:bottom w:val="single" w:sz="8" w:space="0" w:color="auto"/>
              <w:right w:val="nil"/>
            </w:tcBorders>
            <w:vAlign w:val="center"/>
            <w:hideMark/>
          </w:tcPr>
          <w:p w14:paraId="779ED814" w14:textId="77777777" w:rsidR="00944C94" w:rsidRPr="000532DF" w:rsidRDefault="00944C94" w:rsidP="00574556">
            <w:pPr>
              <w:jc w:val="center"/>
              <w:rPr>
                <w:rFonts w:eastAsia="Times New Roman" w:cs="Times New Roman"/>
                <w:kern w:val="0"/>
                <w:szCs w:val="24"/>
                <w:lang w:eastAsia="lt-LT"/>
                <w14:ligatures w14:val="none"/>
              </w:rPr>
            </w:pPr>
            <w:r w:rsidRPr="000532DF">
              <w:rPr>
                <w:rFonts w:eastAsia="Times New Roman" w:cs="Times New Roman"/>
                <w:kern w:val="0"/>
                <w:szCs w:val="24"/>
                <w:lang w:eastAsia="lt-LT"/>
                <w14:ligatures w14:val="none"/>
              </w:rPr>
              <w:t>G</w:t>
            </w:r>
          </w:p>
        </w:tc>
        <w:tc>
          <w:tcPr>
            <w:tcW w:w="3608" w:type="dxa"/>
            <w:tcBorders>
              <w:top w:val="nil"/>
              <w:left w:val="single" w:sz="8" w:space="0" w:color="auto"/>
              <w:bottom w:val="single" w:sz="8" w:space="0" w:color="auto"/>
              <w:right w:val="nil"/>
            </w:tcBorders>
            <w:vAlign w:val="center"/>
            <w:hideMark/>
          </w:tcPr>
          <w:p w14:paraId="23D4742C" w14:textId="77777777" w:rsidR="00944C94" w:rsidRPr="000532DF" w:rsidRDefault="00944C94" w:rsidP="00574556">
            <w:pPr>
              <w:rPr>
                <w:rFonts w:eastAsia="Times New Roman" w:cs="Times New Roman"/>
                <w:kern w:val="0"/>
                <w:szCs w:val="24"/>
                <w:lang w:eastAsia="lt-LT"/>
                <w14:ligatures w14:val="none"/>
              </w:rPr>
            </w:pPr>
            <w:r w:rsidRPr="000532DF">
              <w:rPr>
                <w:rFonts w:eastAsia="Times New Roman" w:cs="Times New Roman"/>
                <w:kern w:val="0"/>
                <w:szCs w:val="24"/>
                <w:lang w:eastAsia="lt-LT"/>
                <w14:ligatures w14:val="none"/>
              </w:rPr>
              <w:t>Tiekėjas siūlomam prietaisui ir visiems komplektuojamiems priedams suteikia 4 metų (48 mėnesių) garantiją*</w:t>
            </w:r>
          </w:p>
        </w:tc>
        <w:tc>
          <w:tcPr>
            <w:tcW w:w="1276" w:type="dxa"/>
            <w:tcBorders>
              <w:top w:val="nil"/>
              <w:left w:val="single" w:sz="8" w:space="0" w:color="auto"/>
              <w:bottom w:val="single" w:sz="8" w:space="0" w:color="auto"/>
              <w:right w:val="single" w:sz="8" w:space="0" w:color="auto"/>
            </w:tcBorders>
            <w:vAlign w:val="center"/>
            <w:hideMark/>
          </w:tcPr>
          <w:p w14:paraId="28798E08" w14:textId="77777777" w:rsidR="00944C94" w:rsidRPr="000532DF" w:rsidRDefault="00944C94" w:rsidP="00574556">
            <w:pPr>
              <w:jc w:val="center"/>
              <w:rPr>
                <w:rFonts w:eastAsia="Times New Roman" w:cs="Times New Roman"/>
                <w:kern w:val="0"/>
                <w:szCs w:val="24"/>
                <w:lang w:eastAsia="lt-LT"/>
                <w14:ligatures w14:val="none"/>
              </w:rPr>
            </w:pPr>
            <w:r w:rsidRPr="000532DF">
              <w:rPr>
                <w:rFonts w:eastAsia="Times New Roman" w:cs="Times New Roman"/>
                <w:kern w:val="0"/>
                <w:szCs w:val="24"/>
                <w:lang w:eastAsia="lt-LT"/>
                <w14:ligatures w14:val="none"/>
              </w:rPr>
              <w:t>Statinis:</w:t>
            </w:r>
            <w:r w:rsidRPr="000532DF">
              <w:rPr>
                <w:rFonts w:eastAsia="Times New Roman" w:cs="Times New Roman"/>
                <w:kern w:val="0"/>
                <w:szCs w:val="24"/>
                <w:lang w:eastAsia="lt-LT"/>
                <w14:ligatures w14:val="none"/>
              </w:rPr>
              <w:br/>
              <w:t>(yra/nėra)</w:t>
            </w:r>
          </w:p>
        </w:tc>
        <w:tc>
          <w:tcPr>
            <w:tcW w:w="679" w:type="dxa"/>
            <w:tcBorders>
              <w:top w:val="nil"/>
              <w:left w:val="nil"/>
              <w:bottom w:val="single" w:sz="8" w:space="0" w:color="auto"/>
              <w:right w:val="single" w:sz="8" w:space="0" w:color="auto"/>
            </w:tcBorders>
            <w:vAlign w:val="center"/>
            <w:hideMark/>
          </w:tcPr>
          <w:p w14:paraId="5A4A9EC6" w14:textId="77777777" w:rsidR="00944C94" w:rsidRPr="000532DF" w:rsidRDefault="00944C94" w:rsidP="00574556">
            <w:pPr>
              <w:rPr>
                <w:rFonts w:eastAsia="Times New Roman" w:cs="Times New Roman"/>
                <w:kern w:val="0"/>
                <w:sz w:val="22"/>
                <w:lang w:eastAsia="lt-LT"/>
                <w14:ligatures w14:val="none"/>
              </w:rPr>
            </w:pPr>
            <w:r w:rsidRPr="000532DF">
              <w:rPr>
                <w:rFonts w:eastAsia="Times New Roman" w:cs="Times New Roman"/>
                <w:kern w:val="0"/>
                <w:sz w:val="22"/>
                <w:lang w:eastAsia="lt-LT"/>
                <w14:ligatures w14:val="none"/>
              </w:rPr>
              <w:t>W =</w:t>
            </w:r>
          </w:p>
        </w:tc>
        <w:tc>
          <w:tcPr>
            <w:tcW w:w="601" w:type="dxa"/>
            <w:tcBorders>
              <w:top w:val="nil"/>
              <w:left w:val="nil"/>
              <w:bottom w:val="single" w:sz="8" w:space="0" w:color="auto"/>
              <w:right w:val="single" w:sz="8" w:space="0" w:color="auto"/>
            </w:tcBorders>
            <w:vAlign w:val="center"/>
            <w:hideMark/>
          </w:tcPr>
          <w:p w14:paraId="7BB9F1E9" w14:textId="77777777" w:rsidR="00944C94" w:rsidRPr="000532DF" w:rsidRDefault="00944C94" w:rsidP="00574556">
            <w:pPr>
              <w:jc w:val="center"/>
              <w:rPr>
                <w:rFonts w:eastAsia="Times New Roman" w:cs="Times New Roman"/>
                <w:kern w:val="0"/>
                <w:sz w:val="22"/>
                <w:lang w:eastAsia="lt-LT"/>
                <w14:ligatures w14:val="none"/>
              </w:rPr>
            </w:pPr>
            <w:r w:rsidRPr="000532DF">
              <w:rPr>
                <w:rFonts w:eastAsia="Times New Roman" w:cs="Times New Roman"/>
                <w:kern w:val="0"/>
                <w:sz w:val="22"/>
                <w:lang w:eastAsia="lt-LT"/>
                <w14:ligatures w14:val="none"/>
              </w:rPr>
              <w:t>1</w:t>
            </w:r>
          </w:p>
        </w:tc>
        <w:tc>
          <w:tcPr>
            <w:tcW w:w="2488" w:type="dxa"/>
            <w:gridSpan w:val="2"/>
            <w:tcBorders>
              <w:top w:val="single" w:sz="8" w:space="0" w:color="auto"/>
              <w:left w:val="nil"/>
              <w:bottom w:val="single" w:sz="8" w:space="0" w:color="auto"/>
              <w:right w:val="single" w:sz="8" w:space="0" w:color="000000"/>
            </w:tcBorders>
            <w:vAlign w:val="center"/>
            <w:hideMark/>
          </w:tcPr>
          <w:p w14:paraId="27826BA3" w14:textId="77777777" w:rsidR="00944C94" w:rsidRPr="000532DF" w:rsidRDefault="00944C94" w:rsidP="00574556">
            <w:pPr>
              <w:jc w:val="center"/>
              <w:rPr>
                <w:rFonts w:eastAsia="Times New Roman" w:cs="Times New Roman"/>
                <w:kern w:val="0"/>
                <w:szCs w:val="24"/>
                <w:lang w:eastAsia="lt-LT"/>
                <w14:ligatures w14:val="none"/>
              </w:rPr>
            </w:pPr>
            <w:r w:rsidRPr="000532DF">
              <w:rPr>
                <w:rFonts w:eastAsia="Times New Roman" w:cs="Times New Roman"/>
                <w:kern w:val="0"/>
                <w:szCs w:val="24"/>
                <w:lang w:eastAsia="lt-LT"/>
                <w14:ligatures w14:val="none"/>
              </w:rPr>
              <w:t xml:space="preserve">Įrašyti parametro vertę: </w:t>
            </w:r>
            <w:r w:rsidRPr="000532DF">
              <w:rPr>
                <w:rFonts w:eastAsia="Times New Roman" w:cs="Times New Roman"/>
                <w:b/>
                <w:bCs/>
                <w:kern w:val="0"/>
                <w:szCs w:val="24"/>
                <w:lang w:eastAsia="lt-LT"/>
                <w14:ligatures w14:val="none"/>
              </w:rPr>
              <w:t>yra / nėra</w:t>
            </w:r>
          </w:p>
        </w:tc>
      </w:tr>
    </w:tbl>
    <w:p w14:paraId="1ED16F14" w14:textId="77777777" w:rsidR="00944C94" w:rsidRPr="00BA2D42" w:rsidRDefault="00944C94" w:rsidP="00944C94">
      <w:pPr>
        <w:rPr>
          <w:highlight w:val="yellow"/>
        </w:rPr>
      </w:pPr>
    </w:p>
    <w:p w14:paraId="639F09C9" w14:textId="77777777" w:rsidR="00944C94" w:rsidRPr="000532DF" w:rsidRDefault="00944C94" w:rsidP="00944C94"/>
    <w:p w14:paraId="674754B6" w14:textId="77777777" w:rsidR="00944C94" w:rsidRPr="000532DF" w:rsidRDefault="00944C94" w:rsidP="00944C94">
      <w:pPr>
        <w:jc w:val="both"/>
      </w:pPr>
      <w:r w:rsidRPr="000532DF">
        <w:t>* Garantinio laikotarpio sąlygos:</w:t>
      </w:r>
    </w:p>
    <w:p w14:paraId="3689AB26" w14:textId="77777777" w:rsidR="00944C94" w:rsidRPr="000532DF" w:rsidRDefault="00944C94" w:rsidP="00944C94">
      <w:pPr>
        <w:jc w:val="both"/>
      </w:pPr>
      <w:r w:rsidRPr="000532DF">
        <w:t>1. Nemokamai atlieka prekės techninę priežiūrą (įskaitant techninei priežiūrai atlikti reikalingas detales ir/arba medžiagas);</w:t>
      </w:r>
    </w:p>
    <w:p w14:paraId="5A77B342" w14:textId="77777777" w:rsidR="00944C94" w:rsidRPr="000532DF" w:rsidRDefault="00944C94" w:rsidP="00944C94">
      <w:pPr>
        <w:jc w:val="both"/>
      </w:pPr>
      <w:r w:rsidRPr="000532DF">
        <w:t>2. Nemokamai atlieka garantijos sąlygas atitinkančių gedimų (jei jie nutiko naudojant įrangą pagal paskirtį, laikantis pateiktų instrukcijų bei nurodytų eksploatavimo sąlygų) šalinimą;</w:t>
      </w:r>
    </w:p>
    <w:p w14:paraId="3D24DEBE" w14:textId="77777777" w:rsidR="00944C94" w:rsidRPr="000532DF" w:rsidRDefault="00944C94" w:rsidP="00944C94">
      <w:pPr>
        <w:jc w:val="both"/>
      </w:pPr>
      <w:r w:rsidRPr="000532DF">
        <w:t>3. Atlieka techninės priežiūros ir techninės būklės patikrinimus pagal gamintojo reikalavimus/rekomendacijas;</w:t>
      </w:r>
    </w:p>
    <w:p w14:paraId="4A81EADA" w14:textId="77777777" w:rsidR="00944C94" w:rsidRPr="000532DF" w:rsidRDefault="00944C94" w:rsidP="00944C94">
      <w:pPr>
        <w:jc w:val="both"/>
      </w:pPr>
      <w:r w:rsidRPr="000532DF">
        <w:t>4. Informuoja pirkėją apie prevencinius veiksmus (jei tokių būtina imtis);</w:t>
      </w:r>
    </w:p>
    <w:p w14:paraId="751B8023" w14:textId="77777777" w:rsidR="00944C94" w:rsidRPr="000532DF" w:rsidRDefault="00944C94" w:rsidP="00944C94">
      <w:pPr>
        <w:jc w:val="both"/>
      </w:pPr>
      <w:r w:rsidRPr="000532DF">
        <w:t>5. Teikia pirkėjui išsamias konsultacijas ir paaiškinimus;</w:t>
      </w:r>
    </w:p>
    <w:p w14:paraId="3B0FC1D7" w14:textId="77777777" w:rsidR="00944C94" w:rsidRPr="000532DF" w:rsidRDefault="00944C94" w:rsidP="00944C94">
      <w:pPr>
        <w:jc w:val="both"/>
      </w:pPr>
      <w:r w:rsidRPr="000532DF">
        <w:t>6. Gedimo atveju atvyksta remontuoti ne vėliau kaip per 24 (dvidešimt keturias) valandas nuo pranešimo apie prekės gedimą gavimo.</w:t>
      </w:r>
    </w:p>
    <w:p w14:paraId="668C2A26" w14:textId="77777777" w:rsidR="00944C94" w:rsidRPr="00BA2D42" w:rsidRDefault="00944C94" w:rsidP="00944C94">
      <w:pPr>
        <w:jc w:val="both"/>
        <w:rPr>
          <w:highlight w:val="yellow"/>
        </w:rPr>
      </w:pPr>
    </w:p>
    <w:p w14:paraId="2A39D3DD" w14:textId="77777777" w:rsidR="00944C94" w:rsidRPr="000532DF" w:rsidRDefault="00944C94" w:rsidP="00944C94">
      <w:pPr>
        <w:jc w:val="both"/>
      </w:pPr>
      <w:r w:rsidRPr="000532DF">
        <w:t>Pasiūlymo ekonominio naudingumo apskaičiavimo tvarka (formulė) yra pateikiama žemiau:</w:t>
      </w:r>
    </w:p>
    <w:p w14:paraId="078199E2" w14:textId="77777777" w:rsidR="00944C94" w:rsidRPr="000532DF" w:rsidRDefault="00944C94" w:rsidP="00944C94">
      <w:pPr>
        <w:jc w:val="both"/>
      </w:pPr>
      <w:r w:rsidRPr="000532DF">
        <w:t>1. Pasiūlymo ekonominis naudingumas (E) apskaičiuojamas sudedant tiekėjo pasiūlymo kainos (K), techninių pranašumų (T) ir išplėstinės garantijos (G) balus:</w:t>
      </w:r>
    </w:p>
    <w:p w14:paraId="11F9295A" w14:textId="77777777" w:rsidR="00944C94" w:rsidRPr="000532DF" w:rsidRDefault="00944C94" w:rsidP="00944C94"/>
    <w:p w14:paraId="1EB428A8" w14:textId="77777777" w:rsidR="00944C94" w:rsidRPr="000532DF" w:rsidRDefault="00944C94" w:rsidP="00944C94">
      <w:pPr>
        <w:jc w:val="center"/>
      </w:pPr>
      <w:r w:rsidRPr="000532DF">
        <w:t>E = K + T + G</w:t>
      </w:r>
    </w:p>
    <w:p w14:paraId="00886909" w14:textId="77777777" w:rsidR="00944C94" w:rsidRPr="000532DF" w:rsidRDefault="00944C94" w:rsidP="00944C94"/>
    <w:p w14:paraId="0C3233FF" w14:textId="77777777" w:rsidR="00944C94" w:rsidRPr="000532DF" w:rsidRDefault="00944C94" w:rsidP="00944C94">
      <w:pPr>
        <w:jc w:val="both"/>
      </w:pPr>
      <w:r w:rsidRPr="000532DF">
        <w:t>2. Pasiūlymo kainos (K) balai apskaičiuojami mažiausios pasiūlytos kainos (</w:t>
      </w:r>
      <w:proofErr w:type="spellStart"/>
      <w:r w:rsidRPr="000532DF">
        <w:t>Kmin</w:t>
      </w:r>
      <w:proofErr w:type="spellEnd"/>
      <w:r w:rsidRPr="000532DF">
        <w:t>) ir vertinamo pasiūlymo kainos (</w:t>
      </w:r>
      <w:proofErr w:type="spellStart"/>
      <w:r w:rsidRPr="000532DF">
        <w:t>Kv</w:t>
      </w:r>
      <w:proofErr w:type="spellEnd"/>
      <w:r w:rsidRPr="000532DF">
        <w:t>) santykį padauginant iš kainos lyginamojo svorio (X)**:</w:t>
      </w:r>
    </w:p>
    <w:p w14:paraId="7D017A2D" w14:textId="77777777" w:rsidR="00944C94" w:rsidRPr="000532DF" w:rsidRDefault="00944C94" w:rsidP="00944C94"/>
    <w:p w14:paraId="3CB91310" w14:textId="77777777" w:rsidR="00944C94" w:rsidRPr="000532DF" w:rsidRDefault="00944C94" w:rsidP="00944C94">
      <w:pPr>
        <w:jc w:val="center"/>
      </w:pPr>
      <w:r w:rsidRPr="000532DF">
        <w:rPr>
          <w:noProof/>
        </w:rPr>
        <w:drawing>
          <wp:inline distT="0" distB="0" distL="0" distR="0" wp14:anchorId="104BB9B6" wp14:editId="44203C88">
            <wp:extent cx="1166649" cy="363213"/>
            <wp:effectExtent l="0" t="0" r="0" b="0"/>
            <wp:docPr id="3" name="Picture 2">
              <a:extLst xmlns:a="http://schemas.openxmlformats.org/drawingml/2006/main">
                <a:ext uri="{FF2B5EF4-FFF2-40B4-BE49-F238E27FC236}">
                  <a16:creationId xmlns:a16="http://schemas.microsoft.com/office/drawing/2014/main" id="{69005422-3281-7B46-8342-C20CFFA204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9005422-3281-7B46-8342-C20CFFA20405}"/>
                        </a:ext>
                      </a:extLst>
                    </pic:cNvPr>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6649" cy="36321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31D0EAD" w14:textId="77777777" w:rsidR="00944C94" w:rsidRPr="00BA2D42" w:rsidRDefault="00944C94" w:rsidP="00944C94">
      <w:pPr>
        <w:jc w:val="center"/>
        <w:rPr>
          <w:highlight w:val="yellow"/>
        </w:rPr>
      </w:pPr>
    </w:p>
    <w:p w14:paraId="2CC8CFBA" w14:textId="77777777" w:rsidR="00944C94" w:rsidRPr="00594CE9" w:rsidRDefault="00944C94" w:rsidP="00944C94">
      <w:pPr>
        <w:jc w:val="both"/>
      </w:pPr>
      <w:r w:rsidRPr="00594CE9">
        <w:t>3. Kadangi siūlomo objekto T1-T6 techniniai parametrai neturi skaitinių išraiškų (yra arba nėra), todėl parametrų įvertinimas apskaičiuojamas pagal metodiką:</w:t>
      </w:r>
    </w:p>
    <w:p w14:paraId="2ED5D3FC" w14:textId="77777777" w:rsidR="00944C94" w:rsidRPr="00594CE9" w:rsidRDefault="00944C94" w:rsidP="00944C94">
      <w:pPr>
        <w:jc w:val="both"/>
      </w:pPr>
      <w:r w:rsidRPr="00594CE9">
        <w:t>Jei siūlomas objektas turi nurodytą pranašumą gauna maksimalų balų skaičių pagal lyginamąjį svorį: T1 = L1 = 0.15, T2 = L2 = 0.10, T3 = L3 = 0.35, T4 = L4 = 0.20, T5 = L5 = 0.10, T6 = L6 = 0.10. Jei siūlomas objektas neturi nurodyto pranašumo gauna 0 balų: T1 = L1 = 0, T2 = L2 = 0, T3 = L3 = 0, T4 = L4 = 0, T5 = L5 = 0, T6 = L6 = 0.</w:t>
      </w:r>
    </w:p>
    <w:p w14:paraId="5C3233FA" w14:textId="77777777" w:rsidR="00944C94" w:rsidRPr="00594CE9" w:rsidRDefault="00944C94" w:rsidP="00944C94">
      <w:pPr>
        <w:jc w:val="both"/>
      </w:pPr>
      <w:r w:rsidRPr="00594CE9">
        <w:t>Techninių pranašumų (T) balai apskaičiuojami visų techninių kriterijų parametrų įvertinimų sumą padauginant iš techninių pranašumų lyginamojo svorio (Y):</w:t>
      </w:r>
    </w:p>
    <w:p w14:paraId="0D00D7F6" w14:textId="77777777" w:rsidR="00944C94" w:rsidRDefault="00944C94" w:rsidP="00944C94">
      <w:pPr>
        <w:rPr>
          <w:highlight w:val="yellow"/>
        </w:rPr>
      </w:pPr>
    </w:p>
    <w:p w14:paraId="7469BF8C" w14:textId="77777777" w:rsidR="00944C94" w:rsidRPr="00BA2D42" w:rsidRDefault="00944C94" w:rsidP="00944C94">
      <w:pPr>
        <w:jc w:val="center"/>
        <w:rPr>
          <w:highlight w:val="yellow"/>
        </w:rPr>
      </w:pPr>
      <w:r w:rsidRPr="00251542">
        <w:rPr>
          <w:noProof/>
        </w:rPr>
        <w:drawing>
          <wp:inline distT="0" distB="0" distL="0" distR="0" wp14:anchorId="23BEF6D7" wp14:editId="701049E1">
            <wp:extent cx="1511935" cy="792480"/>
            <wp:effectExtent l="0" t="0" r="0" b="7620"/>
            <wp:docPr id="10623763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935" cy="792480"/>
                    </a:xfrm>
                    <a:prstGeom prst="rect">
                      <a:avLst/>
                    </a:prstGeom>
                    <a:noFill/>
                  </pic:spPr>
                </pic:pic>
              </a:graphicData>
            </a:graphic>
          </wp:inline>
        </w:drawing>
      </w:r>
    </w:p>
    <w:p w14:paraId="17E64D21" w14:textId="77777777" w:rsidR="00944C94" w:rsidRPr="00BA2D42" w:rsidRDefault="00944C94" w:rsidP="00944C94">
      <w:pPr>
        <w:rPr>
          <w:highlight w:val="yellow"/>
        </w:rPr>
      </w:pPr>
    </w:p>
    <w:p w14:paraId="7929BAC9" w14:textId="77777777" w:rsidR="00944C94" w:rsidRPr="000532DF" w:rsidRDefault="00944C94" w:rsidP="00944C94">
      <w:pPr>
        <w:jc w:val="both"/>
      </w:pPr>
      <w:r w:rsidRPr="000532DF">
        <w:t>4. Siūlomo objekto išplėstinė 4 metų garantinė priežiūra (G) aprašoma statiniu vertinimo būdu ir neturi skaitinių išraiškų (taip arba ne), todėl garantinės priežiūros įvertinimas apskaičiuojamas pagal formulę:</w:t>
      </w:r>
    </w:p>
    <w:p w14:paraId="50EF9C04" w14:textId="77777777" w:rsidR="00944C94" w:rsidRPr="000532DF" w:rsidRDefault="00944C94" w:rsidP="00944C94">
      <w:pPr>
        <w:jc w:val="both"/>
      </w:pPr>
      <w:r w:rsidRPr="000532DF">
        <w:t>Jei siūlomas objektas turi nurodytą pranašumą: W = 1, tuomet G = W x Q</w:t>
      </w:r>
    </w:p>
    <w:p w14:paraId="13412DFB" w14:textId="77777777" w:rsidR="00944C94" w:rsidRPr="000532DF" w:rsidRDefault="00944C94" w:rsidP="00944C94">
      <w:pPr>
        <w:jc w:val="both"/>
      </w:pPr>
      <w:r w:rsidRPr="000532DF">
        <w:lastRenderedPageBreak/>
        <w:t>Jei siūlomas objektas neturi nurodyto pranašumo: W = 0, tuomet G = 0</w:t>
      </w:r>
    </w:p>
    <w:p w14:paraId="468DB892" w14:textId="77777777" w:rsidR="00944C94" w:rsidRPr="000532DF" w:rsidRDefault="00944C94" w:rsidP="00944C94">
      <w:pPr>
        <w:jc w:val="both"/>
      </w:pPr>
      <w:r w:rsidRPr="000532DF">
        <w:t>kur W – parametro lyginamasis svoris, Q - garantinės priežiūros lyginamasis svoris.</w:t>
      </w:r>
    </w:p>
    <w:p w14:paraId="45EE9055" w14:textId="77777777" w:rsidR="00944C94" w:rsidRPr="000532DF" w:rsidRDefault="00944C94" w:rsidP="00944C94">
      <w:pPr>
        <w:jc w:val="both"/>
      </w:pPr>
    </w:p>
    <w:p w14:paraId="6C23D7CE" w14:textId="77777777" w:rsidR="00944C94" w:rsidRPr="000532DF" w:rsidRDefault="00944C94" w:rsidP="00944C94">
      <w:pPr>
        <w:jc w:val="both"/>
      </w:pPr>
      <w:r w:rsidRPr="000532DF">
        <w:t>**Vadovaujantis Viešųjų pirkimų tarnybos (toliau - Tarnyba) nustatytomis Ekonomiškai naudingiausio pasiūlymo vertinimo gairėmis pirkime naudojamos santykinės pasiūlymų vertinimo formulės.</w:t>
      </w:r>
    </w:p>
    <w:p w14:paraId="361AEC41" w14:textId="77777777" w:rsidR="00944C94" w:rsidRPr="000532DF" w:rsidRDefault="00944C94" w:rsidP="00944C94">
      <w:pPr>
        <w:jc w:val="both"/>
      </w:pPr>
      <w:r w:rsidRPr="000532DF">
        <w:t>Šiame konkrečiame pirkime naudojamos santykinės formulės yra tinkamiausias pasirinkimas, nes nustatyta, kad rinkoje yra didelė konkurencija. Ekonomiškai naudingiausio pasiūlymo vertinimo tvarką parengę darbuotojai atliko simuliacijas ir nustatė, kad pirkime galinčių dalyvauti skirtingų tiekėjų pasiūlymų kainos gali smarkiai svyruoti. Būtent santykinės formulės naudojimas leis skaidriai ir objektyviai vertinti skirtingų tiekėjų pasiūlymus, bei skatins tiekėjus teikti konkurencingus pasiūlymus. Santykinės formulės naudojimas skatins tiekėjus siūlyti prekes realiomis rinkos kainomis. Šiame pirkime pasiūlymų vertinimui nenaudojama absoliutinė formulė, nes ji nesudarys konkurencingų sąlygų tiekėjams, siūlantiems itin plataus kainų diapazono prekes, realiai konkuruoti.</w:t>
      </w:r>
    </w:p>
    <w:p w14:paraId="41E63B2D" w14:textId="77777777" w:rsidR="00944C94" w:rsidRPr="000532DF" w:rsidRDefault="00944C94" w:rsidP="00944C94">
      <w:pPr>
        <w:jc w:val="both"/>
      </w:pPr>
      <w:r w:rsidRPr="000532DF">
        <w:t>Santykinė formulė, skirtingai nei absoliutinė, skaidriau ir objektyviau leidžia tiekėjams prisitaikyti prie realių rinkos sąlygų ir sąžiningai konkuruoti. Šio pirkimo tikslas yra gauti geriausią kainą už perkančiajai organizacijai priimtiną kokybę. Būtent santykinės formulės naudojimas leis nustatyti laimėtoją, kuris siūlo optimaliausią, realią rinkos situaciją atspindintį,  kainos ir kokybės santykį, net jei jo kaina nėra itin žema absoliučia prasme.</w:t>
      </w:r>
    </w:p>
    <w:p w14:paraId="387904B7" w14:textId="77777777" w:rsidR="00944C94" w:rsidRPr="000532DF" w:rsidRDefault="00944C94" w:rsidP="00944C94">
      <w:pPr>
        <w:jc w:val="both"/>
      </w:pPr>
      <w:r w:rsidRPr="000532DF">
        <w:t>Santykinės formulės naudojimas realiomis konkurencinėmis sąlygomis didina tiekėjų motyvaciją konkuruoti, nes tiekėjai žino, kad jų vertinimas priklausys nuo konkurentų, dėl to, jie labiau stengiasi mažinti pasiūlymo kainą. Vykdant pirkimą perkančiosios organizacijos pagrindinis tikslas ir yra vadovaujantis VPĮ 17 str. 2 p. 1 d. prekėms, paslaugoms ar darbams įsigyti skirtas lėšas panaudoti racionaliai. Kadangi skirtingų tiekėjų pasiūlymai gali ženkliai skirtis, dėl to, santykinė formulė leis proporcingai paskirstyti balus neiškraipydama logikos, kuomet itin pigi prekė gauna neproporcingai didelį balą.</w:t>
      </w:r>
    </w:p>
    <w:p w14:paraId="15B6B261" w14:textId="77777777" w:rsidR="00944C94" w:rsidRPr="000532DF" w:rsidRDefault="00944C94" w:rsidP="00944C94">
      <w:pPr>
        <w:jc w:val="both"/>
      </w:pPr>
      <w:r w:rsidRPr="000532DF">
        <w:t>Pirkimo sąlygas parengęs atsakingas perkančiosios organizacijos darbuotojas patvirtina, kad santykinė formulė užtikrins aktyviausią konkurenciją, nes perkančiosios organizacijos numanoma prekės rinkos vertė nėra išviešinama ir apibrėžiama iš anksto.</w:t>
      </w:r>
    </w:p>
    <w:p w14:paraId="1CE5FB2C" w14:textId="77777777" w:rsidR="00944C94" w:rsidRPr="000532DF" w:rsidRDefault="00944C94" w:rsidP="00944C94">
      <w:pPr>
        <w:jc w:val="both"/>
      </w:pPr>
    </w:p>
    <w:p w14:paraId="3DE188D9" w14:textId="77777777" w:rsidR="00944C94" w:rsidRPr="00D924FA" w:rsidRDefault="00944C94" w:rsidP="00944C94">
      <w:pPr>
        <w:jc w:val="both"/>
      </w:pPr>
      <w:r w:rsidRPr="000532DF">
        <w:t>1 https://vpt.lrv.lt/uploads/vpt/documents/files/mp/ENPV_gaires.pdf</w:t>
      </w:r>
    </w:p>
    <w:p w14:paraId="575D5BAD" w14:textId="77777777" w:rsidR="009820C0" w:rsidRDefault="009820C0"/>
    <w:sectPr w:rsidR="009820C0" w:rsidSect="007B2D48">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59C5" w14:textId="77777777" w:rsidR="007B2D48" w:rsidRDefault="007B2D48" w:rsidP="007B2D48">
      <w:r>
        <w:separator/>
      </w:r>
    </w:p>
  </w:endnote>
  <w:endnote w:type="continuationSeparator" w:id="0">
    <w:p w14:paraId="7791ADE7" w14:textId="77777777" w:rsidR="007B2D48" w:rsidRDefault="007B2D48" w:rsidP="007B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7D98B" w14:textId="77777777" w:rsidR="007B2D48" w:rsidRDefault="007B2D48" w:rsidP="007B2D48">
      <w:r>
        <w:separator/>
      </w:r>
    </w:p>
  </w:footnote>
  <w:footnote w:type="continuationSeparator" w:id="0">
    <w:p w14:paraId="0520E0BF" w14:textId="77777777" w:rsidR="007B2D48" w:rsidRDefault="007B2D48" w:rsidP="007B2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2906" w14:textId="63FBA19A" w:rsidR="007B2D48" w:rsidRPr="007B2D48" w:rsidRDefault="007B2D48" w:rsidP="007B2D48">
    <w:pPr>
      <w:pStyle w:val="Antrats"/>
      <w:jc w:val="right"/>
      <w:rPr>
        <w:sz w:val="28"/>
        <w:szCs w:val="24"/>
      </w:rPr>
    </w:pPr>
    <w:bookmarkStart w:id="0" w:name="_Ref39484039"/>
    <w:bookmarkStart w:id="1" w:name="_Ref40278562"/>
    <w:bookmarkStart w:id="2" w:name="_Toc190416450"/>
    <w:r w:rsidRPr="00DE7865">
      <w:rPr>
        <w:rFonts w:eastAsia="Calibri" w:cstheme="minorHAnsi"/>
        <w:szCs w:val="24"/>
      </w:rPr>
      <w:t>Pirkimo sąlygų 4.</w:t>
    </w:r>
    <w:r>
      <w:rPr>
        <w:rFonts w:eastAsia="Calibri" w:cstheme="minorHAnsi"/>
        <w:szCs w:val="24"/>
      </w:rPr>
      <w:t>4</w:t>
    </w:r>
    <w:r w:rsidRPr="00DE7865">
      <w:rPr>
        <w:rFonts w:eastAsia="Calibri" w:cstheme="minorHAnsi"/>
        <w:szCs w:val="24"/>
      </w:rPr>
      <w:t xml:space="preserve"> priedas „</w:t>
    </w:r>
    <w:r>
      <w:rPr>
        <w:rFonts w:eastAsia="Calibri" w:cstheme="minorHAnsi"/>
        <w:szCs w:val="24"/>
      </w:rPr>
      <w:t>4</w:t>
    </w:r>
    <w:r w:rsidRPr="00DE7865">
      <w:rPr>
        <w:rFonts w:eastAsia="Calibri" w:cstheme="minorHAnsi"/>
        <w:szCs w:val="24"/>
      </w:rPr>
      <w:t xml:space="preserve"> p. o. d. pasiūlymų vertinimo kriterijai ir sąlygos“</w:t>
    </w:r>
    <w:bookmarkEnd w:id="0"/>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94"/>
    <w:rsid w:val="001A1F39"/>
    <w:rsid w:val="0032145B"/>
    <w:rsid w:val="007B2D48"/>
    <w:rsid w:val="00876D51"/>
    <w:rsid w:val="00944C94"/>
    <w:rsid w:val="009820C0"/>
    <w:rsid w:val="009C2BA8"/>
    <w:rsid w:val="00AB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1CB4"/>
  <w15:chartTrackingRefBased/>
  <w15:docId w15:val="{C8D5E8E0-8FD2-481E-BA8E-FAA9BE5A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4C94"/>
    <w:pPr>
      <w:spacing w:after="0" w:line="240" w:lineRule="auto"/>
    </w:pPr>
    <w:rPr>
      <w:rFonts w:ascii="Times New Roman" w:hAnsi="Times New Roman"/>
      <w:szCs w:val="22"/>
      <w:lang w:val="lt-LT"/>
    </w:rPr>
  </w:style>
  <w:style w:type="paragraph" w:styleId="Antrat1">
    <w:name w:val="heading 1"/>
    <w:basedOn w:val="prastasis"/>
    <w:next w:val="prastasis"/>
    <w:link w:val="Antrat1Diagrama"/>
    <w:uiPriority w:val="9"/>
    <w:qFormat/>
    <w:rsid w:val="00944C9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Antrat2">
    <w:name w:val="heading 2"/>
    <w:basedOn w:val="prastasis"/>
    <w:next w:val="prastasis"/>
    <w:link w:val="Antrat2Diagrama"/>
    <w:uiPriority w:val="9"/>
    <w:semiHidden/>
    <w:unhideWhenUsed/>
    <w:qFormat/>
    <w:rsid w:val="00944C9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Antrat3">
    <w:name w:val="heading 3"/>
    <w:basedOn w:val="prastasis"/>
    <w:next w:val="prastasis"/>
    <w:link w:val="Antrat3Diagrama"/>
    <w:uiPriority w:val="9"/>
    <w:semiHidden/>
    <w:unhideWhenUsed/>
    <w:qFormat/>
    <w:rsid w:val="00944C94"/>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lang w:val="en-US"/>
    </w:rPr>
  </w:style>
  <w:style w:type="paragraph" w:styleId="Antrat4">
    <w:name w:val="heading 4"/>
    <w:basedOn w:val="prastasis"/>
    <w:next w:val="prastasis"/>
    <w:link w:val="Antrat4Diagrama"/>
    <w:uiPriority w:val="9"/>
    <w:semiHidden/>
    <w:unhideWhenUsed/>
    <w:qFormat/>
    <w:rsid w:val="00944C94"/>
    <w:pPr>
      <w:keepNext/>
      <w:keepLines/>
      <w:spacing w:before="80" w:after="40" w:line="278" w:lineRule="auto"/>
      <w:outlineLvl w:val="3"/>
    </w:pPr>
    <w:rPr>
      <w:rFonts w:asciiTheme="minorHAnsi" w:eastAsiaTheme="majorEastAsia" w:hAnsiTheme="minorHAnsi" w:cstheme="majorBidi"/>
      <w:i/>
      <w:iCs/>
      <w:color w:val="2F5496" w:themeColor="accent1" w:themeShade="BF"/>
      <w:szCs w:val="24"/>
      <w:lang w:val="en-US"/>
    </w:rPr>
  </w:style>
  <w:style w:type="paragraph" w:styleId="Antrat5">
    <w:name w:val="heading 5"/>
    <w:basedOn w:val="prastasis"/>
    <w:next w:val="prastasis"/>
    <w:link w:val="Antrat5Diagrama"/>
    <w:uiPriority w:val="9"/>
    <w:semiHidden/>
    <w:unhideWhenUsed/>
    <w:qFormat/>
    <w:rsid w:val="00944C94"/>
    <w:pPr>
      <w:keepNext/>
      <w:keepLines/>
      <w:spacing w:before="80" w:after="40" w:line="278" w:lineRule="auto"/>
      <w:outlineLvl w:val="4"/>
    </w:pPr>
    <w:rPr>
      <w:rFonts w:asciiTheme="minorHAnsi" w:eastAsiaTheme="majorEastAsia" w:hAnsiTheme="minorHAnsi" w:cstheme="majorBidi"/>
      <w:color w:val="2F5496" w:themeColor="accent1" w:themeShade="BF"/>
      <w:szCs w:val="24"/>
      <w:lang w:val="en-US"/>
    </w:rPr>
  </w:style>
  <w:style w:type="paragraph" w:styleId="Antrat6">
    <w:name w:val="heading 6"/>
    <w:basedOn w:val="prastasis"/>
    <w:next w:val="prastasis"/>
    <w:link w:val="Antrat6Diagrama"/>
    <w:uiPriority w:val="9"/>
    <w:semiHidden/>
    <w:unhideWhenUsed/>
    <w:qFormat/>
    <w:rsid w:val="00944C94"/>
    <w:pPr>
      <w:keepNext/>
      <w:keepLines/>
      <w:spacing w:before="40" w:line="278" w:lineRule="auto"/>
      <w:outlineLvl w:val="5"/>
    </w:pPr>
    <w:rPr>
      <w:rFonts w:asciiTheme="minorHAnsi" w:eastAsiaTheme="majorEastAsia" w:hAnsiTheme="minorHAnsi" w:cstheme="majorBidi"/>
      <w:i/>
      <w:iCs/>
      <w:color w:val="595959" w:themeColor="text1" w:themeTint="A6"/>
      <w:szCs w:val="24"/>
      <w:lang w:val="en-US"/>
    </w:rPr>
  </w:style>
  <w:style w:type="paragraph" w:styleId="Antrat7">
    <w:name w:val="heading 7"/>
    <w:basedOn w:val="prastasis"/>
    <w:next w:val="prastasis"/>
    <w:link w:val="Antrat7Diagrama"/>
    <w:uiPriority w:val="9"/>
    <w:semiHidden/>
    <w:unhideWhenUsed/>
    <w:qFormat/>
    <w:rsid w:val="00944C94"/>
    <w:pPr>
      <w:keepNext/>
      <w:keepLines/>
      <w:spacing w:before="40" w:line="278" w:lineRule="auto"/>
      <w:outlineLvl w:val="6"/>
    </w:pPr>
    <w:rPr>
      <w:rFonts w:asciiTheme="minorHAnsi" w:eastAsiaTheme="majorEastAsia" w:hAnsiTheme="minorHAnsi" w:cstheme="majorBidi"/>
      <w:color w:val="595959" w:themeColor="text1" w:themeTint="A6"/>
      <w:szCs w:val="24"/>
      <w:lang w:val="en-US"/>
    </w:rPr>
  </w:style>
  <w:style w:type="paragraph" w:styleId="Antrat8">
    <w:name w:val="heading 8"/>
    <w:basedOn w:val="prastasis"/>
    <w:next w:val="prastasis"/>
    <w:link w:val="Antrat8Diagrama"/>
    <w:uiPriority w:val="9"/>
    <w:semiHidden/>
    <w:unhideWhenUsed/>
    <w:qFormat/>
    <w:rsid w:val="00944C94"/>
    <w:pPr>
      <w:keepNext/>
      <w:keepLines/>
      <w:spacing w:line="278" w:lineRule="auto"/>
      <w:outlineLvl w:val="7"/>
    </w:pPr>
    <w:rPr>
      <w:rFonts w:asciiTheme="minorHAnsi" w:eastAsiaTheme="majorEastAsia" w:hAnsiTheme="minorHAnsi" w:cstheme="majorBidi"/>
      <w:i/>
      <w:iCs/>
      <w:color w:val="272727" w:themeColor="text1" w:themeTint="D8"/>
      <w:szCs w:val="24"/>
      <w:lang w:val="en-US"/>
    </w:rPr>
  </w:style>
  <w:style w:type="paragraph" w:styleId="Antrat9">
    <w:name w:val="heading 9"/>
    <w:basedOn w:val="prastasis"/>
    <w:next w:val="prastasis"/>
    <w:link w:val="Antrat9Diagrama"/>
    <w:uiPriority w:val="9"/>
    <w:semiHidden/>
    <w:unhideWhenUsed/>
    <w:qFormat/>
    <w:rsid w:val="00944C94"/>
    <w:pPr>
      <w:keepNext/>
      <w:keepLines/>
      <w:spacing w:line="278" w:lineRule="auto"/>
      <w:outlineLvl w:val="8"/>
    </w:pPr>
    <w:rPr>
      <w:rFonts w:asciiTheme="minorHAnsi" w:eastAsiaTheme="majorEastAsia" w:hAnsiTheme="minorHAnsi" w:cstheme="majorBidi"/>
      <w:color w:val="272727" w:themeColor="text1" w:themeTint="D8"/>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4C9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44C9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44C9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44C9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44C9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44C9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4C9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4C9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4C9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4C94"/>
    <w:pPr>
      <w:spacing w:after="80"/>
      <w:contextualSpacing/>
    </w:pPr>
    <w:rPr>
      <w:rFonts w:asciiTheme="majorHAnsi" w:eastAsiaTheme="majorEastAsia" w:hAnsiTheme="majorHAnsi" w:cstheme="majorBidi"/>
      <w:spacing w:val="-10"/>
      <w:kern w:val="28"/>
      <w:sz w:val="56"/>
      <w:szCs w:val="56"/>
      <w:lang w:val="en-US"/>
    </w:rPr>
  </w:style>
  <w:style w:type="character" w:customStyle="1" w:styleId="PavadinimasDiagrama">
    <w:name w:val="Pavadinimas Diagrama"/>
    <w:basedOn w:val="Numatytasispastraiposriftas"/>
    <w:link w:val="Pavadinimas"/>
    <w:uiPriority w:val="10"/>
    <w:rsid w:val="00944C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4C94"/>
    <w:pPr>
      <w:numPr>
        <w:ilvl w:val="1"/>
      </w:numPr>
      <w:spacing w:after="160" w:line="278" w:lineRule="auto"/>
    </w:pPr>
    <w:rPr>
      <w:rFonts w:asciiTheme="minorHAnsi" w:eastAsiaTheme="majorEastAsia" w:hAnsiTheme="minorHAnsi" w:cstheme="majorBidi"/>
      <w:color w:val="595959" w:themeColor="text1" w:themeTint="A6"/>
      <w:spacing w:val="15"/>
      <w:sz w:val="28"/>
      <w:szCs w:val="28"/>
      <w:lang w:val="en-US"/>
    </w:rPr>
  </w:style>
  <w:style w:type="character" w:customStyle="1" w:styleId="PaantratDiagrama">
    <w:name w:val="Paantraštė Diagrama"/>
    <w:basedOn w:val="Numatytasispastraiposriftas"/>
    <w:link w:val="Paantrat"/>
    <w:uiPriority w:val="11"/>
    <w:rsid w:val="00944C9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4C94"/>
    <w:pPr>
      <w:spacing w:before="160" w:after="160" w:line="278" w:lineRule="auto"/>
      <w:jc w:val="center"/>
    </w:pPr>
    <w:rPr>
      <w:rFonts w:asciiTheme="minorHAnsi" w:hAnsiTheme="minorHAnsi"/>
      <w:i/>
      <w:iCs/>
      <w:color w:val="404040" w:themeColor="text1" w:themeTint="BF"/>
      <w:szCs w:val="24"/>
      <w:lang w:val="en-US"/>
    </w:rPr>
  </w:style>
  <w:style w:type="character" w:customStyle="1" w:styleId="CitataDiagrama">
    <w:name w:val="Citata Diagrama"/>
    <w:basedOn w:val="Numatytasispastraiposriftas"/>
    <w:link w:val="Citata"/>
    <w:uiPriority w:val="29"/>
    <w:rsid w:val="00944C94"/>
    <w:rPr>
      <w:i/>
      <w:iCs/>
      <w:color w:val="404040" w:themeColor="text1" w:themeTint="BF"/>
    </w:rPr>
  </w:style>
  <w:style w:type="paragraph" w:styleId="Sraopastraipa">
    <w:name w:val="List Paragraph"/>
    <w:basedOn w:val="prastasis"/>
    <w:uiPriority w:val="34"/>
    <w:qFormat/>
    <w:rsid w:val="00944C94"/>
    <w:pPr>
      <w:spacing w:after="160" w:line="278" w:lineRule="auto"/>
      <w:ind w:left="720"/>
      <w:contextualSpacing/>
    </w:pPr>
    <w:rPr>
      <w:rFonts w:asciiTheme="minorHAnsi" w:hAnsiTheme="minorHAnsi"/>
      <w:szCs w:val="24"/>
      <w:lang w:val="en-US"/>
    </w:rPr>
  </w:style>
  <w:style w:type="character" w:styleId="Rykuspabraukimas">
    <w:name w:val="Intense Emphasis"/>
    <w:basedOn w:val="Numatytasispastraiposriftas"/>
    <w:uiPriority w:val="21"/>
    <w:qFormat/>
    <w:rsid w:val="00944C94"/>
    <w:rPr>
      <w:i/>
      <w:iCs/>
      <w:color w:val="2F5496" w:themeColor="accent1" w:themeShade="BF"/>
    </w:rPr>
  </w:style>
  <w:style w:type="paragraph" w:styleId="Iskirtacitata">
    <w:name w:val="Intense Quote"/>
    <w:basedOn w:val="prastasis"/>
    <w:next w:val="prastasis"/>
    <w:link w:val="IskirtacitataDiagrama"/>
    <w:uiPriority w:val="30"/>
    <w:qFormat/>
    <w:rsid w:val="00944C9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szCs w:val="24"/>
      <w:lang w:val="en-US"/>
    </w:rPr>
  </w:style>
  <w:style w:type="character" w:customStyle="1" w:styleId="IskirtacitataDiagrama">
    <w:name w:val="Išskirta citata Diagrama"/>
    <w:basedOn w:val="Numatytasispastraiposriftas"/>
    <w:link w:val="Iskirtacitata"/>
    <w:uiPriority w:val="30"/>
    <w:rsid w:val="00944C94"/>
    <w:rPr>
      <w:i/>
      <w:iCs/>
      <w:color w:val="2F5496" w:themeColor="accent1" w:themeShade="BF"/>
    </w:rPr>
  </w:style>
  <w:style w:type="character" w:styleId="Rykinuoroda">
    <w:name w:val="Intense Reference"/>
    <w:basedOn w:val="Numatytasispastraiposriftas"/>
    <w:uiPriority w:val="32"/>
    <w:qFormat/>
    <w:rsid w:val="00944C94"/>
    <w:rPr>
      <w:b/>
      <w:bCs/>
      <w:smallCaps/>
      <w:color w:val="2F5496" w:themeColor="accent1" w:themeShade="BF"/>
      <w:spacing w:val="5"/>
    </w:rPr>
  </w:style>
  <w:style w:type="paragraph" w:styleId="Antrats">
    <w:name w:val="header"/>
    <w:basedOn w:val="prastasis"/>
    <w:link w:val="AntratsDiagrama"/>
    <w:uiPriority w:val="99"/>
    <w:unhideWhenUsed/>
    <w:rsid w:val="007B2D48"/>
    <w:pPr>
      <w:tabs>
        <w:tab w:val="center" w:pos="4819"/>
        <w:tab w:val="right" w:pos="9638"/>
      </w:tabs>
    </w:pPr>
  </w:style>
  <w:style w:type="character" w:customStyle="1" w:styleId="AntratsDiagrama">
    <w:name w:val="Antraštės Diagrama"/>
    <w:basedOn w:val="Numatytasispastraiposriftas"/>
    <w:link w:val="Antrats"/>
    <w:uiPriority w:val="99"/>
    <w:rsid w:val="007B2D48"/>
    <w:rPr>
      <w:rFonts w:ascii="Times New Roman" w:hAnsi="Times New Roman"/>
      <w:szCs w:val="22"/>
      <w:lang w:val="lt-LT"/>
    </w:rPr>
  </w:style>
  <w:style w:type="paragraph" w:styleId="Porat">
    <w:name w:val="footer"/>
    <w:basedOn w:val="prastasis"/>
    <w:link w:val="PoratDiagrama"/>
    <w:uiPriority w:val="99"/>
    <w:unhideWhenUsed/>
    <w:rsid w:val="007B2D48"/>
    <w:pPr>
      <w:tabs>
        <w:tab w:val="center" w:pos="4819"/>
        <w:tab w:val="right" w:pos="9638"/>
      </w:tabs>
    </w:pPr>
  </w:style>
  <w:style w:type="character" w:customStyle="1" w:styleId="PoratDiagrama">
    <w:name w:val="Poraštė Diagrama"/>
    <w:basedOn w:val="Numatytasispastraiposriftas"/>
    <w:link w:val="Porat"/>
    <w:uiPriority w:val="99"/>
    <w:rsid w:val="007B2D48"/>
    <w:rPr>
      <w:rFonts w:ascii="Times New Roman" w:hAnsi="Times New Roman"/>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4245</Words>
  <Characters>2420</Characters>
  <Application>Microsoft Office Word</Application>
  <DocSecurity>0</DocSecurity>
  <Lines>20</Lines>
  <Paragraphs>13</Paragraphs>
  <ScaleCrop>false</ScaleCrop>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NK-VP1</dc:creator>
  <cp:keywords/>
  <dc:description/>
  <cp:lastModifiedBy>Sandra Čiukšytė-Nagienė</cp:lastModifiedBy>
  <cp:revision>3</cp:revision>
  <dcterms:created xsi:type="dcterms:W3CDTF">2025-10-13T08:10:00Z</dcterms:created>
  <dcterms:modified xsi:type="dcterms:W3CDTF">2025-10-14T12:31:00Z</dcterms:modified>
</cp:coreProperties>
</file>