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3ECA" w14:textId="50CD84EF" w:rsidR="00A52009" w:rsidRDefault="00A52009" w:rsidP="00A52009">
      <w:pPr>
        <w:spacing w:before="100" w:beforeAutospacing="1" w:after="80" w:line="240" w:lineRule="exact"/>
        <w:jc w:val="center"/>
        <w:rPr>
          <w:rFonts w:ascii="Times New Roman" w:hAnsi="Times New Roman" w:cs="Times New Roman"/>
          <w:b/>
          <w:bCs/>
          <w:sz w:val="24"/>
          <w:szCs w:val="24"/>
        </w:rPr>
      </w:pPr>
      <w:r>
        <w:rPr>
          <w:rFonts w:ascii="Times New Roman" w:hAnsi="Times New Roman" w:cs="Times New Roman"/>
          <w:b/>
          <w:bCs/>
          <w:sz w:val="24"/>
          <w:szCs w:val="24"/>
        </w:rPr>
        <w:t>ATSAKYMAI Į TEIKĖJO KLAUSIMUS</w:t>
      </w:r>
    </w:p>
    <w:p w14:paraId="20F0A911" w14:textId="6608A650" w:rsidR="00FB2863" w:rsidRPr="00FB2863" w:rsidRDefault="00FB2863" w:rsidP="00A52009">
      <w:p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b/>
          <w:bCs/>
          <w:sz w:val="24"/>
          <w:szCs w:val="24"/>
        </w:rPr>
        <w:t>Prašome  patikslinti, kokie reikalavimai keliami 3.1 išvardintiems rezultatams: </w:t>
      </w:r>
      <w:r w:rsidRPr="00FB2863">
        <w:rPr>
          <w:rFonts w:ascii="Times New Roman" w:hAnsi="Times New Roman" w:cs="Times New Roman"/>
          <w:sz w:val="24"/>
          <w:szCs w:val="24"/>
        </w:rPr>
        <w:t> </w:t>
      </w:r>
    </w:p>
    <w:p w14:paraId="060BCF3F" w14:textId="0DE06597" w:rsidR="00FB2863" w:rsidRDefault="00FB2863" w:rsidP="00A52009">
      <w:pPr>
        <w:pStyle w:val="Sraopastraipa"/>
        <w:numPr>
          <w:ilvl w:val="0"/>
          <w:numId w:val="43"/>
        </w:numPr>
        <w:spacing w:before="100" w:beforeAutospacing="1" w:after="120" w:line="240" w:lineRule="exact"/>
        <w:jc w:val="both"/>
        <w:rPr>
          <w:rFonts w:ascii="Times New Roman" w:hAnsi="Times New Roman" w:cs="Times New Roman"/>
          <w:sz w:val="24"/>
          <w:szCs w:val="24"/>
        </w:rPr>
      </w:pPr>
      <w:r w:rsidRPr="00FB2863">
        <w:rPr>
          <w:rFonts w:ascii="Times New Roman" w:hAnsi="Times New Roman" w:cs="Times New Roman"/>
          <w:sz w:val="24"/>
          <w:szCs w:val="24"/>
        </w:rPr>
        <w:t>Ar rekomendacijos turi būti parengtos remiantis esamos praktikos analize (pvz., faktinių duomenų rinkimu iš visų sveikatos centrų, vizitais, apklausomis, interviu)? Jeigu taip, kokį minimalų sveikatos centrų kiekį reikalinga įtraukti į analizę? | </w:t>
      </w:r>
    </w:p>
    <w:p w14:paraId="1D421199" w14:textId="77777777" w:rsidR="00A52009" w:rsidRPr="00FB2863" w:rsidRDefault="00A52009" w:rsidP="00A52009">
      <w:pPr>
        <w:pStyle w:val="Sraopastraipa"/>
        <w:spacing w:before="100" w:beforeAutospacing="1" w:after="120" w:line="240" w:lineRule="exact"/>
        <w:jc w:val="both"/>
        <w:rPr>
          <w:rFonts w:ascii="Times New Roman" w:hAnsi="Times New Roman" w:cs="Times New Roman"/>
          <w:sz w:val="24"/>
          <w:szCs w:val="24"/>
        </w:rPr>
      </w:pPr>
    </w:p>
    <w:p w14:paraId="4B92A939" w14:textId="11946C4F" w:rsidR="00FB2863" w:rsidRDefault="00FB2863" w:rsidP="00A52009">
      <w:pPr>
        <w:pStyle w:val="Sraopastraipa"/>
        <w:spacing w:before="100" w:beforeAutospacing="1" w:after="120" w:line="240" w:lineRule="exact"/>
        <w:jc w:val="both"/>
        <w:rPr>
          <w:rFonts w:ascii="Times New Roman" w:hAnsi="Times New Roman" w:cs="Times New Roman"/>
          <w:i/>
          <w:iCs/>
          <w:sz w:val="24"/>
          <w:szCs w:val="24"/>
        </w:rPr>
      </w:pPr>
      <w:r w:rsidRPr="00FB2863">
        <w:rPr>
          <w:rFonts w:ascii="Times New Roman" w:hAnsi="Times New Roman" w:cs="Times New Roman"/>
          <w:i/>
          <w:iCs/>
          <w:sz w:val="24"/>
          <w:szCs w:val="24"/>
        </w:rPr>
        <w:t>Rekomendacijos turėtų būti parengtos remiantis esamos praktikos analize į ją įtraukiant ne mažiau kaip 7 Sveikatos centrus, suderintus su Ministerija, užtikrinant, kad būtų atstovaujamos visos sveikatos centrų grupės: funkciniai, struktūriniai, I–III savivaldybių grupės, vienas didmiesčio Sveikatos centras ir viena žiedinė savivaldybė. Pasirinkti analizės metodus tiekėjas gali savarankiškai, siekdamas užtikrinti kokybišką rezultatą. </w:t>
      </w:r>
    </w:p>
    <w:p w14:paraId="33385A3F" w14:textId="77777777" w:rsidR="00A52009" w:rsidRPr="00FB2863" w:rsidRDefault="00A52009" w:rsidP="00A52009">
      <w:pPr>
        <w:pStyle w:val="Sraopastraipa"/>
        <w:spacing w:before="100" w:beforeAutospacing="1" w:after="120" w:line="240" w:lineRule="exact"/>
        <w:jc w:val="both"/>
        <w:rPr>
          <w:rFonts w:ascii="Times New Roman" w:hAnsi="Times New Roman" w:cs="Times New Roman"/>
          <w:i/>
          <w:iCs/>
          <w:sz w:val="24"/>
          <w:szCs w:val="24"/>
        </w:rPr>
      </w:pPr>
    </w:p>
    <w:p w14:paraId="62431977" w14:textId="77777777" w:rsidR="00A52009" w:rsidRPr="00A52009" w:rsidRDefault="00FB2863" w:rsidP="00A52009">
      <w:pPr>
        <w:pStyle w:val="Sraopastraipa"/>
        <w:numPr>
          <w:ilvl w:val="0"/>
          <w:numId w:val="43"/>
        </w:numPr>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sz w:val="24"/>
          <w:szCs w:val="24"/>
        </w:rPr>
        <w:t>Ar tiekėjas privalo identifikuoti ir panaudoti gerąją praktiką Lietuvoje (pavyzdžiui, jau veikiančių efektyvių sveikatos centrų pavyzdžius) ir / arba užsienyje?  </w:t>
      </w:r>
    </w:p>
    <w:p w14:paraId="5B248EC5" w14:textId="77777777" w:rsidR="00A52009" w:rsidRDefault="00A52009" w:rsidP="00A52009">
      <w:pPr>
        <w:pStyle w:val="Sraopastraipa"/>
        <w:spacing w:before="100" w:beforeAutospacing="1" w:after="80" w:line="240" w:lineRule="exact"/>
        <w:jc w:val="both"/>
        <w:rPr>
          <w:rFonts w:ascii="Times New Roman" w:hAnsi="Times New Roman" w:cs="Times New Roman"/>
          <w:sz w:val="24"/>
          <w:szCs w:val="24"/>
        </w:rPr>
      </w:pPr>
    </w:p>
    <w:p w14:paraId="5472C473" w14:textId="4334C98A" w:rsidR="00FB2863" w:rsidRPr="00FB2863"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i/>
          <w:iCs/>
          <w:sz w:val="24"/>
          <w:szCs w:val="24"/>
        </w:rPr>
        <w:t>Tiekėjas privalo identifikuoti ir panaudoti gerosios praktikos pavyzdžius Lietuvoje. Užsienio šalių patirties analizė – pageidautina, jei ji aktuali Lietuvoje  įkurtų  Sveikatos centrų modelio kontekste. </w:t>
      </w:r>
    </w:p>
    <w:p w14:paraId="7568B7A5" w14:textId="4165CEB4" w:rsidR="00FB2863" w:rsidRPr="00FB2863" w:rsidRDefault="00FB2863" w:rsidP="00A52009">
      <w:pPr>
        <w:numPr>
          <w:ilvl w:val="0"/>
          <w:numId w:val="43"/>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paciento srautų valdymo modeliai turi būti tik schematiškai nupiešti, ar parengti kaip įgyvendinami procesai su atsakomybėmis, IT sistemos reikalavimais ir teisiniais pakeitimais? (4 punktas)</w:t>
      </w:r>
    </w:p>
    <w:p w14:paraId="77FF3D8B" w14:textId="14A0BC69"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Prioritetas teikiamas įgyvendinamų procesų parengimui su procesų  žingsnių aprašymais,   atsakomybėmis, IT sistemos reikalavimais ir teisiniais pakeitimais. Schemos pateikiamos kaip papildoma vizualinė priemonė, iliustruojanti veikimo logiką. </w:t>
      </w:r>
    </w:p>
    <w:p w14:paraId="2AF9D41D" w14:textId="7EB96D28" w:rsidR="00FB2863" w:rsidRPr="00FB2863" w:rsidRDefault="00FB2863" w:rsidP="00A52009">
      <w:pPr>
        <w:numPr>
          <w:ilvl w:val="0"/>
          <w:numId w:val="43"/>
        </w:numPr>
        <w:spacing w:before="100" w:beforeAutospacing="1" w:after="80" w:line="240" w:lineRule="exact"/>
        <w:ind w:left="714" w:hanging="357"/>
        <w:jc w:val="both"/>
        <w:rPr>
          <w:rFonts w:ascii="Times New Roman" w:hAnsi="Times New Roman" w:cs="Times New Roman"/>
          <w:sz w:val="24"/>
          <w:szCs w:val="24"/>
        </w:rPr>
      </w:pPr>
      <w:r w:rsidRPr="00FB2863">
        <w:rPr>
          <w:rFonts w:ascii="Times New Roman" w:hAnsi="Times New Roman" w:cs="Times New Roman"/>
          <w:sz w:val="24"/>
          <w:szCs w:val="24"/>
        </w:rPr>
        <w:t>Kokiais standartais remiantis turi būti parengtos procesų schemos? (6 punktas)  </w:t>
      </w:r>
    </w:p>
    <w:p w14:paraId="25A1960E" w14:textId="5B32126D" w:rsidR="00FB2863" w:rsidRPr="00FB2863" w:rsidRDefault="00FB2863" w:rsidP="00A52009">
      <w:pPr>
        <w:spacing w:before="100" w:beforeAutospacing="1" w:after="80" w:line="240" w:lineRule="exact"/>
        <w:ind w:left="714"/>
        <w:jc w:val="both"/>
        <w:rPr>
          <w:rFonts w:ascii="Times New Roman" w:hAnsi="Times New Roman" w:cs="Times New Roman"/>
          <w:i/>
          <w:iCs/>
          <w:sz w:val="24"/>
          <w:szCs w:val="24"/>
        </w:rPr>
      </w:pPr>
      <w:r w:rsidRPr="00FB2863">
        <w:rPr>
          <w:rFonts w:ascii="Times New Roman" w:hAnsi="Times New Roman" w:cs="Times New Roman"/>
          <w:i/>
          <w:iCs/>
          <w:sz w:val="24"/>
          <w:szCs w:val="24"/>
        </w:rPr>
        <w:t>Procesų schemoms rekomenduojama taikyti BPMN (</w:t>
      </w:r>
      <w:proofErr w:type="spellStart"/>
      <w:r w:rsidRPr="00FB2863">
        <w:rPr>
          <w:rFonts w:ascii="Times New Roman" w:hAnsi="Times New Roman" w:cs="Times New Roman"/>
          <w:i/>
          <w:iCs/>
          <w:sz w:val="24"/>
          <w:szCs w:val="24"/>
        </w:rPr>
        <w:t>Business</w:t>
      </w:r>
      <w:proofErr w:type="spellEnd"/>
      <w:r w:rsidRPr="00FB2863">
        <w:rPr>
          <w:rFonts w:ascii="Times New Roman" w:hAnsi="Times New Roman" w:cs="Times New Roman"/>
          <w:i/>
          <w:iCs/>
          <w:sz w:val="24"/>
          <w:szCs w:val="24"/>
        </w:rPr>
        <w:t xml:space="preserve"> </w:t>
      </w:r>
      <w:proofErr w:type="spellStart"/>
      <w:r w:rsidRPr="00FB2863">
        <w:rPr>
          <w:rFonts w:ascii="Times New Roman" w:hAnsi="Times New Roman" w:cs="Times New Roman"/>
          <w:i/>
          <w:iCs/>
          <w:sz w:val="24"/>
          <w:szCs w:val="24"/>
        </w:rPr>
        <w:t>Process</w:t>
      </w:r>
      <w:proofErr w:type="spellEnd"/>
      <w:r w:rsidRPr="00FB2863">
        <w:rPr>
          <w:rFonts w:ascii="Times New Roman" w:hAnsi="Times New Roman" w:cs="Times New Roman"/>
          <w:i/>
          <w:iCs/>
          <w:sz w:val="24"/>
          <w:szCs w:val="24"/>
        </w:rPr>
        <w:t xml:space="preserve"> </w:t>
      </w:r>
      <w:proofErr w:type="spellStart"/>
      <w:r w:rsidRPr="00FB2863">
        <w:rPr>
          <w:rFonts w:ascii="Times New Roman" w:hAnsi="Times New Roman" w:cs="Times New Roman"/>
          <w:i/>
          <w:iCs/>
          <w:sz w:val="24"/>
          <w:szCs w:val="24"/>
        </w:rPr>
        <w:t>Model</w:t>
      </w:r>
      <w:proofErr w:type="spellEnd"/>
      <w:r w:rsidRPr="00FB2863">
        <w:rPr>
          <w:rFonts w:ascii="Times New Roman" w:hAnsi="Times New Roman" w:cs="Times New Roman"/>
          <w:i/>
          <w:iCs/>
          <w:sz w:val="24"/>
          <w:szCs w:val="24"/>
        </w:rPr>
        <w:t xml:space="preserve"> </w:t>
      </w:r>
      <w:proofErr w:type="spellStart"/>
      <w:r w:rsidRPr="00FB2863">
        <w:rPr>
          <w:rFonts w:ascii="Times New Roman" w:hAnsi="Times New Roman" w:cs="Times New Roman"/>
          <w:i/>
          <w:iCs/>
          <w:sz w:val="24"/>
          <w:szCs w:val="24"/>
        </w:rPr>
        <w:t>and</w:t>
      </w:r>
      <w:proofErr w:type="spellEnd"/>
      <w:r w:rsidRPr="00FB2863">
        <w:rPr>
          <w:rFonts w:ascii="Times New Roman" w:hAnsi="Times New Roman" w:cs="Times New Roman"/>
          <w:i/>
          <w:iCs/>
          <w:sz w:val="24"/>
          <w:szCs w:val="24"/>
        </w:rPr>
        <w:t xml:space="preserve"> </w:t>
      </w:r>
      <w:proofErr w:type="spellStart"/>
      <w:r w:rsidRPr="00FB2863">
        <w:rPr>
          <w:rFonts w:ascii="Times New Roman" w:hAnsi="Times New Roman" w:cs="Times New Roman"/>
          <w:i/>
          <w:iCs/>
          <w:sz w:val="24"/>
          <w:szCs w:val="24"/>
        </w:rPr>
        <w:t>Notation</w:t>
      </w:r>
      <w:proofErr w:type="spellEnd"/>
      <w:r w:rsidRPr="00FB2863">
        <w:rPr>
          <w:rFonts w:ascii="Times New Roman" w:hAnsi="Times New Roman" w:cs="Times New Roman"/>
          <w:i/>
          <w:iCs/>
          <w:sz w:val="24"/>
          <w:szCs w:val="24"/>
        </w:rPr>
        <w:t>) arba kitus tarptautiniu mastu pripažintus procesų modeliavimo standartus.</w:t>
      </w:r>
      <w:r w:rsidRPr="00FB2863">
        <w:rPr>
          <w:rFonts w:ascii="Times New Roman" w:hAnsi="Times New Roman" w:cs="Times New Roman"/>
          <w:b/>
          <w:bCs/>
          <w:i/>
          <w:iCs/>
          <w:sz w:val="24"/>
          <w:szCs w:val="24"/>
        </w:rPr>
        <w:t> </w:t>
      </w:r>
      <w:r w:rsidRPr="00FB2863">
        <w:rPr>
          <w:rFonts w:ascii="Times New Roman" w:hAnsi="Times New Roman" w:cs="Times New Roman"/>
          <w:i/>
          <w:iCs/>
          <w:sz w:val="24"/>
          <w:szCs w:val="24"/>
        </w:rPr>
        <w:t> </w:t>
      </w:r>
    </w:p>
    <w:p w14:paraId="43064C49" w14:textId="77777777" w:rsidR="00FB2863" w:rsidRPr="00FB2863" w:rsidRDefault="00FB2863" w:rsidP="00A52009">
      <w:p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b/>
          <w:bCs/>
          <w:sz w:val="24"/>
          <w:szCs w:val="24"/>
        </w:rPr>
        <w:t>Prašome patikslinti, kokie reikalavimai keliami 3.2 išvardintiems rezultatams: </w:t>
      </w:r>
      <w:r w:rsidRPr="00FB2863">
        <w:rPr>
          <w:rFonts w:ascii="Times New Roman" w:hAnsi="Times New Roman" w:cs="Times New Roman"/>
          <w:sz w:val="24"/>
          <w:szCs w:val="24"/>
        </w:rPr>
        <w:t> </w:t>
      </w:r>
    </w:p>
    <w:p w14:paraId="63A96502" w14:textId="13B5D2D4" w:rsidR="00FB2863" w:rsidRPr="00FB2863" w:rsidRDefault="00FB2863" w:rsidP="00A52009">
      <w:pPr>
        <w:numPr>
          <w:ilvl w:val="0"/>
          <w:numId w:val="44"/>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tikimasi, kad paciento kelias bus parengtas remiantis faktinių duomenų analize, interviu ir apklausomis (pacientų, gydytojų, įstaigų vadovų), ar pakaks bendro teorinio aprašymo? (7 punktas) </w:t>
      </w:r>
    </w:p>
    <w:p w14:paraId="7494EB6B" w14:textId="77777777" w:rsidR="00FB2863" w:rsidRPr="00FB2863"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i/>
          <w:iCs/>
          <w:sz w:val="24"/>
          <w:szCs w:val="24"/>
        </w:rPr>
        <w:t>Paciento kelias turi būti parengtas remiantis faktinių duomenų analize, interviu ir apklausomis, siekiant užtikrinti pagrįstus ir praktiškai taikytinus rezultatus. Vien teorinio aprašymo nepakanka. </w:t>
      </w:r>
    </w:p>
    <w:p w14:paraId="10186514" w14:textId="3EB3D316" w:rsidR="00FB2863" w:rsidRPr="00FB2863" w:rsidRDefault="00FB2863" w:rsidP="00A52009">
      <w:pPr>
        <w:numPr>
          <w:ilvl w:val="0"/>
          <w:numId w:val="44"/>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Jeigu paciento kelias bus parengtas remiantis faktinių duomenų analize ir apklausomis, kiek sveikatos centrų ir įstaigų turi būti įtraukiama į apklausas ir interviu, kiek pacientų turi būti įtraukiama į apklausas ir interviu? (7 punktas)  </w:t>
      </w:r>
    </w:p>
    <w:p w14:paraId="653F699E" w14:textId="77777777" w:rsidR="00FB2863"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i/>
          <w:iCs/>
          <w:sz w:val="24"/>
          <w:szCs w:val="24"/>
        </w:rPr>
        <w:t>Į analizę ir apklausas turi būti įtraukti ne mažiau kaip 7 sveikatos centrai, suderinti su Ministerija, užtikrinant, kad būtų atstovaujamos visos sveikatos centrų grupės: funkciniai ir struktūriniai centrai, I–III grupių savivaldybės, taip pat bent vienas didmiesčio ir viena žiedinės savivaldybės sveikatos centras. </w:t>
      </w:r>
    </w:p>
    <w:p w14:paraId="12EA77D3" w14:textId="13BA1835" w:rsidR="00FB2863" w:rsidRPr="00FB2863" w:rsidRDefault="00FB2863" w:rsidP="00A52009">
      <w:pPr>
        <w:pStyle w:val="Sraopastraipa"/>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i/>
          <w:iCs/>
          <w:sz w:val="24"/>
          <w:szCs w:val="24"/>
        </w:rPr>
        <w:t xml:space="preserve">Pacientų apklausų imtis turi būti reprezentatyvi – ne mažiau kaip 385 respondentai, siekiant užtikrinti 95 % </w:t>
      </w:r>
      <w:proofErr w:type="spellStart"/>
      <w:r w:rsidRPr="00FB2863">
        <w:rPr>
          <w:rFonts w:ascii="Times New Roman" w:hAnsi="Times New Roman" w:cs="Times New Roman"/>
          <w:i/>
          <w:iCs/>
          <w:sz w:val="24"/>
          <w:szCs w:val="24"/>
        </w:rPr>
        <w:t>pasikliautinąjį</w:t>
      </w:r>
      <w:proofErr w:type="spellEnd"/>
      <w:r w:rsidRPr="00FB2863">
        <w:rPr>
          <w:rFonts w:ascii="Times New Roman" w:hAnsi="Times New Roman" w:cs="Times New Roman"/>
          <w:i/>
          <w:iCs/>
          <w:sz w:val="24"/>
          <w:szCs w:val="24"/>
        </w:rPr>
        <w:t xml:space="preserve"> lygį ir 0,05 paklaidą. Interviu turėtų būti atliekama ne mažiau kaip su 25–30 respondentų</w:t>
      </w:r>
      <w:r w:rsidRPr="00FB2863">
        <w:rPr>
          <w:rFonts w:ascii="Times New Roman" w:hAnsi="Times New Roman" w:cs="Times New Roman"/>
          <w:sz w:val="24"/>
          <w:szCs w:val="24"/>
        </w:rPr>
        <w:t>. </w:t>
      </w:r>
    </w:p>
    <w:p w14:paraId="3A430621" w14:textId="77777777" w:rsidR="00FB2863" w:rsidRDefault="00FB2863" w:rsidP="00A52009">
      <w:pPr>
        <w:numPr>
          <w:ilvl w:val="0"/>
          <w:numId w:val="44"/>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paciento kelias turi būti parengtas vienodai visoms savivaldybėms, ar numatomi regioniniai skirtumai (pvz., didmiesčių ir mažesnių savivaldybių atvejai)? (7 punktas)  </w:t>
      </w:r>
    </w:p>
    <w:p w14:paraId="48039F09" w14:textId="6D732112"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lastRenderedPageBreak/>
        <w:t>Paciento  kelias  turi  būti parengtas atsižvelgiant  į skirtingus   sveikatos centrų tipus ir regioninius ypatumus. Tiekėjas privalo užtikrinti, kad būtų analizuoti ir atspindėti ne mažiau kaip 7 sveikatos centrai, suderinti su Ministerija, atstovaujantys skirtingas grupes (funkcinius, struktūrinius, I–III grupių savivaldybes, didmiesčius ir žiedines savivaldybes</w:t>
      </w:r>
      <w:r>
        <w:rPr>
          <w:rFonts w:ascii="Times New Roman" w:hAnsi="Times New Roman" w:cs="Times New Roman"/>
          <w:i/>
          <w:iCs/>
          <w:sz w:val="24"/>
          <w:szCs w:val="24"/>
        </w:rPr>
        <w:t>.</w:t>
      </w:r>
    </w:p>
    <w:p w14:paraId="642B94A7" w14:textId="2EE377D7" w:rsidR="00FB2863" w:rsidRPr="00FB2863" w:rsidRDefault="00FB2863" w:rsidP="00A52009">
      <w:pPr>
        <w:numPr>
          <w:ilvl w:val="0"/>
          <w:numId w:val="44"/>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algoritmai turi būti parengti kaip praktiniai įrankiai darbuotojams (pvz., žingsnis po žingsnio schema su atsakingais asmenimis), ar tik bendro pobūdžio rekomendacijos? (8 punktas)  </w:t>
      </w:r>
    </w:p>
    <w:p w14:paraId="76F2A5B4" w14:textId="77777777"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Algoritmai turi būti parengti kaip praktiniai įrankiai darbuotojams – žingsnis po žingsnio procesų schemos su nurodytais atsakingais asmenimis, užtikrinančios jų taikymą praktikoje. </w:t>
      </w:r>
    </w:p>
    <w:p w14:paraId="3C75B94E" w14:textId="77777777" w:rsidR="00FB2863" w:rsidRDefault="00FB2863" w:rsidP="00A52009">
      <w:pPr>
        <w:numPr>
          <w:ilvl w:val="0"/>
          <w:numId w:val="44"/>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būtina užtikrinti, kad algoritmai būtų integruojami į e. sveikatos ar pacientų registracijos sistemas? (8 punktas)  </w:t>
      </w:r>
    </w:p>
    <w:p w14:paraId="55CBDED4" w14:textId="341C4AFE"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Algoritmai turi būti suderinami su galimybe juos integruoti į e. sveikatos ar pacientų registracijos sistemas, tačiau jų faktinė integracija nėra šio pirkimo objektas. </w:t>
      </w:r>
    </w:p>
    <w:p w14:paraId="68053D45" w14:textId="77777777" w:rsidR="00FB2863" w:rsidRDefault="00FB2863" w:rsidP="00A52009">
      <w:pPr>
        <w:numPr>
          <w:ilvl w:val="0"/>
          <w:numId w:val="44"/>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etikos standartai turi remtis jau galiojančiais Lietuvos sveikatos priežiūros įstatymais ir profesiniais kodeksais, ar juos būtina papildyti tarptautiniais pavyzdžiais (pvz., PSO gairėmis)? (9 punktas)  </w:t>
      </w:r>
    </w:p>
    <w:p w14:paraId="09304F59" w14:textId="019C6617"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Etikos standartai turi būti parengti remiantis galiojančiais Lietuvos teisės aktais ir profesiniais kodeksais, juos papildant tarptautiniais pavyzdžiais bei Pasaulio sveikatos organizacijos (PSO) rekomendacijomis. </w:t>
      </w:r>
    </w:p>
    <w:p w14:paraId="1D60C521" w14:textId="77777777" w:rsidR="00FB2863" w:rsidRPr="00FB2863" w:rsidRDefault="00FB2863" w:rsidP="00A52009">
      <w:pPr>
        <w:numPr>
          <w:ilvl w:val="0"/>
          <w:numId w:val="44"/>
        </w:numPr>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sz w:val="24"/>
          <w:szCs w:val="24"/>
        </w:rPr>
        <w:t>Ar konfliktų sprendimo principai turi būti pateikti kaip praktiniai scenarijai (pvz., atvejai su sprendimo modeliais), ar pakanka bendrinių teiginių? (10 punktas)  </w:t>
      </w:r>
      <w:r w:rsidRPr="00FB2863">
        <w:rPr>
          <w:rFonts w:ascii="Times New Roman" w:hAnsi="Times New Roman" w:cs="Times New Roman"/>
          <w:sz w:val="24"/>
          <w:szCs w:val="24"/>
        </w:rPr>
        <w:br/>
      </w:r>
      <w:r w:rsidRPr="00FB2863">
        <w:rPr>
          <w:rFonts w:ascii="Times New Roman" w:hAnsi="Times New Roman" w:cs="Times New Roman"/>
          <w:i/>
          <w:iCs/>
          <w:sz w:val="24"/>
          <w:szCs w:val="24"/>
        </w:rPr>
        <w:t>Konfliktų sprendimo principai turi būti pateikti kaip praktiniai scenarijai ir modeliai, papildyti bendrinių prevencijos principų rekomendacijomis. </w:t>
      </w:r>
    </w:p>
    <w:p w14:paraId="0C268845" w14:textId="63E2C3EF" w:rsidR="00FB2863" w:rsidRPr="00FB2863"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i/>
          <w:iCs/>
          <w:sz w:val="24"/>
          <w:szCs w:val="24"/>
        </w:rPr>
        <w:t>Tiekėjas privalo parengti išsamias metodikas ir praktinius įrankius – klausimynus, vertinimo skalės pavyzdžius, apklausų šablonus bei stebėsenos rodiklių sistemą. Vien bendrų rekomendacijų pateikimas nėra pakankamas. </w:t>
      </w:r>
    </w:p>
    <w:p w14:paraId="74C1A9CC" w14:textId="77777777" w:rsidR="00FB2863" w:rsidRPr="00FB2863" w:rsidRDefault="00FB2863" w:rsidP="00A52009">
      <w:pPr>
        <w:numPr>
          <w:ilvl w:val="0"/>
          <w:numId w:val="44"/>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 xml:space="preserve">Kas spręs, ar atmintinės specialistams ir pacientams bus rengiamos 5 ar 10 ligų? (13 punktas). </w:t>
      </w:r>
    </w:p>
    <w:p w14:paraId="3D466A27" w14:textId="2C0C73C2"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Sprendimas dėl atmintinių kiekio ir tematikos bus priimamas pagal susitarimą su Ministerija, atsižvelgiant į prioritetines visuomenės sveikatos sritis ir duomenis apie sergamumą. </w:t>
      </w:r>
    </w:p>
    <w:p w14:paraId="51631EA7" w14:textId="77777777" w:rsidR="00FB2863" w:rsidRPr="00FB2863" w:rsidRDefault="00FB2863" w:rsidP="00A52009">
      <w:pPr>
        <w:numPr>
          <w:ilvl w:val="0"/>
          <w:numId w:val="44"/>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pakaks bendrosios praktikos konsultantams kompetencijos parengti atmintines specialistams ir pacientams ligas ir jų valdymą, ar tiekėjas privalo turėti komandą su medicinos ir sveikatos vadybos patirtimi? (13 punktas)  </w:t>
      </w:r>
    </w:p>
    <w:p w14:paraId="629BC741" w14:textId="0B5312DB" w:rsidR="00FB2863" w:rsidRPr="00FB2863" w:rsidRDefault="00DA326A" w:rsidP="00A52009">
      <w:pPr>
        <w:spacing w:before="100" w:beforeAutospacing="1" w:after="80" w:line="240" w:lineRule="exact"/>
        <w:ind w:left="720"/>
        <w:jc w:val="both"/>
        <w:rPr>
          <w:rFonts w:ascii="Times New Roman" w:hAnsi="Times New Roman" w:cs="Times New Roman"/>
          <w:i/>
          <w:iCs/>
          <w:sz w:val="24"/>
          <w:szCs w:val="24"/>
        </w:rPr>
      </w:pPr>
      <w:r w:rsidRPr="00DA326A">
        <w:rPr>
          <w:rFonts w:ascii="Times New Roman" w:hAnsi="Times New Roman" w:cs="Times New Roman"/>
          <w:i/>
          <w:iCs/>
          <w:sz w:val="24"/>
          <w:szCs w:val="24"/>
        </w:rPr>
        <w:t>Pirkimo dokumentuose tiekėjo pasitelkiamiems specialistams/komandai nekeliami konkret</w:t>
      </w:r>
      <w:r w:rsidR="00157099">
        <w:rPr>
          <w:rFonts w:ascii="Times New Roman" w:hAnsi="Times New Roman" w:cs="Times New Roman"/>
          <w:i/>
          <w:iCs/>
          <w:sz w:val="24"/>
          <w:szCs w:val="24"/>
        </w:rPr>
        <w:t>ū</w:t>
      </w:r>
      <w:r w:rsidRPr="00DA326A">
        <w:rPr>
          <w:rFonts w:ascii="Times New Roman" w:hAnsi="Times New Roman" w:cs="Times New Roman"/>
          <w:i/>
          <w:iCs/>
          <w:sz w:val="24"/>
          <w:szCs w:val="24"/>
        </w:rPr>
        <w:t>s kvalifikaciniai reikalavimai. Tiekėjas turi pats įsivertinti, kokių kompetencijų specialistai yra reikalingi, norint užtikrinti kokybiškų pacientų priežiūros protokolų parengimą pagal techninėje specifikacijoje nustatytus reikalavimus.</w:t>
      </w:r>
      <w:r w:rsidR="00FB2863" w:rsidRPr="00FB2863">
        <w:rPr>
          <w:rFonts w:ascii="Times New Roman" w:hAnsi="Times New Roman" w:cs="Times New Roman"/>
          <w:i/>
          <w:iCs/>
          <w:sz w:val="24"/>
          <w:szCs w:val="24"/>
        </w:rPr>
        <w:t> </w:t>
      </w:r>
    </w:p>
    <w:p w14:paraId="0D37F99C" w14:textId="77777777" w:rsidR="00FB2863" w:rsidRPr="00FB2863" w:rsidRDefault="00FB2863" w:rsidP="00A52009">
      <w:p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b/>
          <w:bCs/>
          <w:sz w:val="24"/>
          <w:szCs w:val="24"/>
        </w:rPr>
        <w:t>Prašome patikslinti, kokie reikalavimai keliami 3.3 išvardintiems rezultatams: </w:t>
      </w:r>
      <w:r w:rsidRPr="00FB2863">
        <w:rPr>
          <w:rFonts w:ascii="Times New Roman" w:hAnsi="Times New Roman" w:cs="Times New Roman"/>
          <w:sz w:val="24"/>
          <w:szCs w:val="24"/>
        </w:rPr>
        <w:t> </w:t>
      </w:r>
    </w:p>
    <w:p w14:paraId="376F85DA" w14:textId="77777777" w:rsidR="00FB2863" w:rsidRPr="00FB2863" w:rsidRDefault="00FB2863" w:rsidP="00A52009">
      <w:pPr>
        <w:pStyle w:val="Sraopastraipa"/>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yra nustatytas minimalus sveikatos centrų skaičius, kuriuose privaloma atlikti analizę dėl 3.3 minimų rekomendacijų parengimo, kad būtų užtikrintas rezultato reprezentatyvumas?  </w:t>
      </w:r>
    </w:p>
    <w:p w14:paraId="4C6ECE2B" w14:textId="77777777" w:rsidR="00FB2863" w:rsidRPr="00FB2863"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i/>
          <w:iCs/>
          <w:sz w:val="24"/>
          <w:szCs w:val="24"/>
        </w:rPr>
        <w:t>Analizė turi būti atliekama ne mažiau kaip 7 sveikatos centruose, suderintuose su Ministerija. Atrenkant centrus būtina užtikrinti, kad būtų atstovaujamos visos sveikatos centrų grupės – funkciniai ir struktūriniai centrai, I–III grupių savivaldybės, vienas didmiesčio ir viena žiedinės savivaldybės sveikatos centras. </w:t>
      </w:r>
    </w:p>
    <w:p w14:paraId="51E81685"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Kuo remiantis turėtų būti sukuriamas ir ką apimti optimalios aptarnaujamos apylinkės modelis? (16.1 punktas)  </w:t>
      </w:r>
    </w:p>
    <w:p w14:paraId="1A46AA03" w14:textId="77777777" w:rsidR="00FB2863" w:rsidRPr="00A52009"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A52009">
        <w:rPr>
          <w:rFonts w:ascii="Times New Roman" w:hAnsi="Times New Roman" w:cs="Times New Roman"/>
          <w:i/>
          <w:iCs/>
          <w:sz w:val="24"/>
          <w:szCs w:val="24"/>
        </w:rPr>
        <w:lastRenderedPageBreak/>
        <w:t>Optimalios aptarnaujamos apylinkės modelis turi būti parengtas remiantis aiškiais kriterijais, apimančiais: </w:t>
      </w:r>
    </w:p>
    <w:p w14:paraId="6FB16D6C" w14:textId="77777777" w:rsidR="00A52009" w:rsidRPr="00A52009" w:rsidRDefault="00A52009" w:rsidP="00A52009">
      <w:pPr>
        <w:pStyle w:val="Sraopastraipa"/>
        <w:spacing w:before="100" w:beforeAutospacing="1" w:after="80" w:line="240" w:lineRule="exact"/>
        <w:jc w:val="both"/>
        <w:rPr>
          <w:rFonts w:ascii="Times New Roman" w:hAnsi="Times New Roman" w:cs="Times New Roman"/>
          <w:i/>
          <w:iCs/>
          <w:sz w:val="24"/>
          <w:szCs w:val="24"/>
        </w:rPr>
      </w:pPr>
    </w:p>
    <w:p w14:paraId="2E6F604E" w14:textId="77777777" w:rsidR="00A52009"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A52009">
        <w:rPr>
          <w:rFonts w:ascii="Times New Roman" w:hAnsi="Times New Roman" w:cs="Times New Roman"/>
          <w:i/>
          <w:iCs/>
          <w:sz w:val="24"/>
          <w:szCs w:val="24"/>
        </w:rPr>
        <w:t>– apylinkės gyventojų demografinius rodiklius (amžiaus, lyties struktūrą, sergamumą),</w:t>
      </w:r>
    </w:p>
    <w:p w14:paraId="2831C19D" w14:textId="01CE6516" w:rsidR="00A52009" w:rsidRPr="00A52009"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A52009">
        <w:rPr>
          <w:rFonts w:ascii="Times New Roman" w:hAnsi="Times New Roman" w:cs="Times New Roman"/>
          <w:i/>
          <w:iCs/>
          <w:sz w:val="24"/>
          <w:szCs w:val="24"/>
        </w:rPr>
        <w:t>– paslaugų prieinamumo geografinį pasiskirstymą, – esamų žmogiškųjų išteklių panaudojimo efektyvumą</w:t>
      </w:r>
      <w:r w:rsidR="00A52009" w:rsidRPr="00A52009">
        <w:rPr>
          <w:rFonts w:ascii="Times New Roman" w:hAnsi="Times New Roman" w:cs="Times New Roman"/>
          <w:i/>
          <w:iCs/>
          <w:sz w:val="24"/>
          <w:szCs w:val="24"/>
        </w:rPr>
        <w:t>;</w:t>
      </w:r>
    </w:p>
    <w:p w14:paraId="61186A2C" w14:textId="77777777" w:rsidR="00A52009" w:rsidRPr="00A52009"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A52009">
        <w:rPr>
          <w:rFonts w:ascii="Times New Roman" w:hAnsi="Times New Roman" w:cs="Times New Roman"/>
          <w:i/>
          <w:iCs/>
          <w:sz w:val="24"/>
          <w:szCs w:val="24"/>
        </w:rPr>
        <w:t>–</w:t>
      </w:r>
      <w:r w:rsidR="00A52009" w:rsidRPr="00A52009">
        <w:rPr>
          <w:rFonts w:ascii="Times New Roman" w:hAnsi="Times New Roman" w:cs="Times New Roman"/>
          <w:i/>
          <w:iCs/>
          <w:sz w:val="24"/>
          <w:szCs w:val="24"/>
        </w:rPr>
        <w:t> </w:t>
      </w:r>
      <w:r w:rsidRPr="00A52009">
        <w:rPr>
          <w:rFonts w:ascii="Times New Roman" w:hAnsi="Times New Roman" w:cs="Times New Roman"/>
          <w:i/>
          <w:iCs/>
          <w:sz w:val="24"/>
          <w:szCs w:val="24"/>
        </w:rPr>
        <w:t>sveikatos paslaugų paklausos ir pasiūlos subalansavimą. </w:t>
      </w:r>
    </w:p>
    <w:p w14:paraId="4FB4D06C" w14:textId="5A649E44" w:rsidR="00FB2863" w:rsidRPr="00A52009"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A52009">
        <w:rPr>
          <w:rFonts w:ascii="Times New Roman" w:hAnsi="Times New Roman" w:cs="Times New Roman"/>
          <w:i/>
          <w:iCs/>
          <w:sz w:val="24"/>
          <w:szCs w:val="24"/>
        </w:rPr>
        <w:t>Modeliu siekiama užtikrinti kokybiškas ir prieinamas paslaugas, racionaliai paskirstant darbo krūvį ir resursus. </w:t>
      </w:r>
    </w:p>
    <w:p w14:paraId="66AC8C7C"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tiekėjas turi atlikti sistemingą šeimos gydytojų atliekamų funkcijų analizę tam, kad įvertintų administracinę naštą, tenkančią šeimos gydytojui bei identifikuotų mažinimo priemones? (16.2 punktas) </w:t>
      </w:r>
    </w:p>
    <w:p w14:paraId="0496554E" w14:textId="77777777"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 Taip. Tiekėjas privalo atlikti išsamią faktinės situacijos analizę sveikatos centruose, įvertinant šeimos gydytojų atliekamas funkcijas, administracinės naštos mastą ir pateikiant pasiūlymus dėl jos mažinimo priemonių. </w:t>
      </w:r>
    </w:p>
    <w:p w14:paraId="1653462A"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 xml:space="preserve">Ar pakanka pateikti bendrines rekomendacijas dėl administracinės naštos mažinimo, ar būtina parengti konkrečių funkcijų sąrašą, kurios turėtų būti perduodamos kitiems komandos nariams arba panaikinamos (kaip pateiktas pavyzdys dėl perteklinių siuntimų gydytojams </w:t>
      </w:r>
      <w:proofErr w:type="spellStart"/>
      <w:r w:rsidRPr="00FB2863">
        <w:rPr>
          <w:rFonts w:ascii="Times New Roman" w:hAnsi="Times New Roman" w:cs="Times New Roman"/>
          <w:sz w:val="24"/>
          <w:szCs w:val="24"/>
        </w:rPr>
        <w:t>oftamologams</w:t>
      </w:r>
      <w:proofErr w:type="spellEnd"/>
      <w:r w:rsidRPr="00FB2863">
        <w:rPr>
          <w:rFonts w:ascii="Times New Roman" w:hAnsi="Times New Roman" w:cs="Times New Roman"/>
          <w:sz w:val="24"/>
          <w:szCs w:val="24"/>
        </w:rPr>
        <w:t>)? (16.2 punktas)  </w:t>
      </w:r>
    </w:p>
    <w:p w14:paraId="13B76EE9" w14:textId="23BE3E41" w:rsidR="00FB2863" w:rsidRPr="00FB2863"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i/>
          <w:iCs/>
          <w:sz w:val="24"/>
          <w:szCs w:val="24"/>
        </w:rPr>
        <w:t>Būtina pateikti konkretų funkcijų sąrašą, kurias siūloma perduoti kitiems komandos nariams ar panaikinti. Pateikiant rekomendacijas turi būti aiškiai nurodyta, kokios užduotys gali būti deleguojamos, kad būtų mažinama administracinė našta šeimos gydytojams. </w:t>
      </w:r>
    </w:p>
    <w:p w14:paraId="7F269637"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šeimos gydytojo komandos sudėties vertinimas turi būti atliktas tik remiantis galiojančiais teisės aktais ir normatyvais (t. y. kokie komandos nariai numatyti reglamentuose), ar privaloma atlikti tyrimą sveikatos centruose, analizuojant faktinę komandų sudėtį, jų praktikas ir darbo krūvį? Jeigu reikalingas tyrimas, ar jis turi būti reprezentatyvus? (16.3 punktas)  </w:t>
      </w:r>
    </w:p>
    <w:p w14:paraId="065DB751" w14:textId="77777777"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Vertinimas turi būti atliktas remiantis tiek teisės aktų nuostatomis, tiek faktine situacijos analize sveikatos centruose. Tyrimas turi būti reprezentatyvus ir apimti skirtingų tipų sveikatos centrus, kad būtų galima pateikti pagrįstas ir taikytinas rekomendacijas. </w:t>
      </w:r>
    </w:p>
    <w:p w14:paraId="790DC1B0" w14:textId="77777777" w:rsid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siūlymai dėl funkcijų delegavimo turi būti bendro pobūdžio („reikėtų daugiau įgalinti slaugytojus“), ar būtina pateikti konkrečias funkcijų sąrašus (pvz., kokias užduotis gali perimti slaugytojas, kokias – akušeris, kineziterapeutas)? (16.3 punktas)  </w:t>
      </w:r>
    </w:p>
    <w:p w14:paraId="544E514D" w14:textId="055716AE"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Siūlymai turi būti konkretūs – pateikiant išsamų funkcijų sąrašą pagal profesines grupes (pvz., kokias užduotis gali perimti slaugytojai, akušeriai, kineziterapeutai ir kt.), kad rekomendacijos būtų praktiškai įgyvendinamos. </w:t>
      </w:r>
    </w:p>
    <w:p w14:paraId="5B91DDA0" w14:textId="77777777" w:rsid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pakaks bendrosios praktikos konsultantams kompetencijos parengti pacientų priežiūros protokolus (pvz., sergantiems LOPL, bronchine astma, širdies nepakankamumu, arterine hipertenzija, cukriniu diabetu), ar tiekėjas privalo turėti komandą su medicinos ir sveikatos vadybos patirtimi? (16.4 punktas)  </w:t>
      </w:r>
    </w:p>
    <w:p w14:paraId="723744AE" w14:textId="53B179C5" w:rsidR="00631878" w:rsidRPr="00033ADA" w:rsidRDefault="00033ADA" w:rsidP="00631878">
      <w:pPr>
        <w:spacing w:before="100" w:beforeAutospacing="1" w:after="80" w:line="240" w:lineRule="exact"/>
        <w:ind w:left="720"/>
        <w:jc w:val="both"/>
        <w:rPr>
          <w:rFonts w:ascii="Times New Roman" w:hAnsi="Times New Roman" w:cs="Times New Roman"/>
          <w:i/>
          <w:iCs/>
          <w:sz w:val="24"/>
          <w:szCs w:val="24"/>
        </w:rPr>
      </w:pPr>
      <w:r w:rsidRPr="00033ADA">
        <w:rPr>
          <w:rFonts w:ascii="Times New Roman" w:hAnsi="Times New Roman" w:cs="Times New Roman"/>
          <w:i/>
          <w:iCs/>
          <w:sz w:val="24"/>
          <w:szCs w:val="24"/>
        </w:rPr>
        <w:t>Pirkimo dokumentuose tiekėjo pasitelkiamiems specialistams/komandai nekeliami konkret</w:t>
      </w:r>
      <w:r w:rsidR="002547D7">
        <w:rPr>
          <w:rFonts w:ascii="Times New Roman" w:hAnsi="Times New Roman" w:cs="Times New Roman"/>
          <w:i/>
          <w:iCs/>
          <w:sz w:val="24"/>
          <w:szCs w:val="24"/>
        </w:rPr>
        <w:t>ū</w:t>
      </w:r>
      <w:r w:rsidRPr="00033ADA">
        <w:rPr>
          <w:rFonts w:ascii="Times New Roman" w:hAnsi="Times New Roman" w:cs="Times New Roman"/>
          <w:i/>
          <w:iCs/>
          <w:sz w:val="24"/>
          <w:szCs w:val="24"/>
        </w:rPr>
        <w:t>s kvalifikaciniai reikalavimai. Tiekėjas turi pats įsivertinti, kokių kompetencijų specialistai yra reikalingi, norint užtikrinti kokybišką atmintinių parengimą pagal techninėje specifikacijoje nustatytus reikalavimus.</w:t>
      </w:r>
    </w:p>
    <w:p w14:paraId="66B3CB7D"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Kas nuspręs kiek protokolų ir kokius protokolus rengti? (16.4 punktas)  </w:t>
      </w:r>
    </w:p>
    <w:p w14:paraId="1A926257" w14:textId="77777777"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Sprendimas dėl pacientų priežiūros protokolų kiekio ir tematikos bus priimamas pagal susitarimą su Ministerija, atsižvelgiant į aktualiausias visuomenės sveikatos problemas, sergamumo duomenis ir sveikatos politikos prioritetus. </w:t>
      </w:r>
    </w:p>
    <w:p w14:paraId="00295F97" w14:textId="77777777" w:rsid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lastRenderedPageBreak/>
        <w:t xml:space="preserve">Nėra aišku, kodėl 4 ir 17 punktai yra pateikiami atskirai: ar tai turi būti kaip atskiri rezultatai, ar vienas ir tas pats rezultatas? </w:t>
      </w:r>
    </w:p>
    <w:p w14:paraId="7CD3549B" w14:textId="1FCC6AC9"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4 punktas apima praktinį procesų ir modelių įgyvendinimo lygmenį (paciento srautų valdymo modeliavimą), o 17 punktas – išsamią situacijos analizę ir sisteminių sprendimų parengimą. Tai tarpusavyje susiję, bet skirtingo pobūdžio rezultatai: 17 punktas apima analitinę dalį, o 4 – jos praktinį įgyvendinimą. </w:t>
      </w:r>
    </w:p>
    <w:p w14:paraId="09A5C70C"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pacientų srautų priežasčių ir valdymo priemonių nustatymui užtenka bendros literatūros apžvalgos, ar būtina atlikti detalią faktinę analizę atrinktuose centruose? Kiek sveikatos centrų turėtų būti įtraukta į analizę? (17 punktas) </w:t>
      </w:r>
    </w:p>
    <w:p w14:paraId="37D1E031" w14:textId="401FDF69"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Reikalinga detali faktinė analizė atrinktuose sveikatos centruose. Į analizę turi būti įtraukti ne mažiau kaip 7 sveikatos centrai, suderinti su ministerija, užtikrinant, kad būtų atstovaujamos visos centrų grupės (funkciniai, struktūriniai, I–III grupių savivaldybės, didmiesčio ir žiedinės savivaldybės centrai). </w:t>
      </w:r>
    </w:p>
    <w:p w14:paraId="0992808F"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tiekėjas privalo pateikti kiekybinius modelius (pvz., prognozuojamų eilių mažėjimo scenarijus), ar užtenka bendrų rekomendacijų, nepagrįstų skaičiais? (17 punktas)  </w:t>
      </w:r>
    </w:p>
    <w:p w14:paraId="545AAFBC" w14:textId="77777777" w:rsidR="00FB2863" w:rsidRPr="00FB2863"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i/>
          <w:iCs/>
          <w:sz w:val="24"/>
          <w:szCs w:val="24"/>
        </w:rPr>
        <w:t>Tiekėjas privalo pateikti kiekybinius modelius, pagrįstus duomenų analize ir prognozėmis. Kiekybiniai scenarijai (pvz., laukimo eilių mažėjimo modeliai) yra būtini siekiant įvertinti pasiūlytų priemonių efektyvumą.  </w:t>
      </w:r>
    </w:p>
    <w:p w14:paraId="3614AB92" w14:textId="7640F1C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Kaip bus vertinama atvejo analizė 7 centruose: ar užtenka bendrų aprašymų, ar turi būti atliekami gilūs vizitai, interviu, procesų stebėjimai? (19 punktas)  </w:t>
      </w:r>
    </w:p>
    <w:p w14:paraId="5206C592" w14:textId="77777777"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Atvejo analizė turi būti atliekama išsamiai – apimant vizitus, interviu su personalu ir procesų stebėjimą. Bendrų aprašymų nepakanka, nes tik tiesioginė analizė leidžia tinkamai įvertinti veiklos procesus. </w:t>
      </w:r>
    </w:p>
    <w:p w14:paraId="68D66175"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vieno sveikatos centro apklausa bus laikoma pakankama pateikti išvadas nacionaliniu lygiu, ar reikalinga apklausti didesnį sveikatos centrų skaičių (pvz., bent po vieną iš kiekvienos grupės – funkciniai, struktūriniai, didmiesčio, žiedinės savivaldybės)? (20 punktas) </w:t>
      </w:r>
    </w:p>
    <w:p w14:paraId="0365A32B" w14:textId="5F5063DD" w:rsidR="00FB2863" w:rsidRPr="00FB2863"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i/>
          <w:iCs/>
          <w:sz w:val="24"/>
          <w:szCs w:val="24"/>
        </w:rPr>
        <w:t>Ne, vieno sveikatos centro apklausos nepakanka. Turi būti įtraukti ne mažiau kaip 7 sveikatos centrai, kaip nurodyta ankstesniuose atsakymuose. </w:t>
      </w:r>
    </w:p>
    <w:p w14:paraId="6D315E0B" w14:textId="07067088"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Kokiu formatu turi būti atliekama apklausa – kiekybiniu (anketavimas), kokybiniu (interviu, fokus grupės), ar mišriu būdu? (20 punktas)  </w:t>
      </w:r>
    </w:p>
    <w:p w14:paraId="19F1B965" w14:textId="77777777" w:rsidR="00FB2863" w:rsidRPr="00FB2863"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FB2863">
        <w:rPr>
          <w:rFonts w:ascii="Times New Roman" w:hAnsi="Times New Roman" w:cs="Times New Roman"/>
          <w:i/>
          <w:iCs/>
          <w:sz w:val="24"/>
          <w:szCs w:val="24"/>
        </w:rPr>
        <w:t>Apklausos  formatas  nėra  reglamentuojamas,  tiekėjas  pats pasirenka  apklausos  metodą (kiekybinį, kokybinį ar mišrų), siekdamas užtikrinti kokybiškiausius ir reprezentatyviausius rezultatus.    </w:t>
      </w:r>
    </w:p>
    <w:p w14:paraId="696212A8"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privaloma apklausti visas sveikatos centre dalyvaujančias įstaigas, ar pakanka atrinkti dalį (pvz., pagal dydį, paslaugų spektrą)? (20 punktas) apklausą  atlikti pagal  įstaigų  teikiamų  </w:t>
      </w:r>
    </w:p>
    <w:p w14:paraId="7272B55C" w14:textId="77777777" w:rsidR="00FB2863" w:rsidRPr="00FB2863" w:rsidRDefault="00FB2863" w:rsidP="00A52009">
      <w:pPr>
        <w:spacing w:before="100" w:beforeAutospacing="1" w:after="80" w:line="240" w:lineRule="exact"/>
        <w:ind w:left="720"/>
        <w:jc w:val="both"/>
        <w:rPr>
          <w:rFonts w:ascii="Times New Roman" w:hAnsi="Times New Roman" w:cs="Times New Roman"/>
          <w:i/>
          <w:iCs/>
          <w:sz w:val="24"/>
          <w:szCs w:val="24"/>
        </w:rPr>
      </w:pPr>
      <w:r w:rsidRPr="00FB2863">
        <w:rPr>
          <w:rFonts w:ascii="Times New Roman" w:hAnsi="Times New Roman" w:cs="Times New Roman"/>
          <w:i/>
          <w:iCs/>
          <w:sz w:val="24"/>
          <w:szCs w:val="24"/>
        </w:rPr>
        <w:t>Apklausą rekomenduojama atlikti pagal įstaigų teikiamų paslaugų spektrą, įtraukiant koordinuojančią įstaigą ir didžiausias asmens sveikatos priežiūros įstaigas (ASPĮ), veikiančias atitinkamo centro tinkle. </w:t>
      </w:r>
    </w:p>
    <w:p w14:paraId="35A46DB4"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t>Ar apklausoje turi dalyvauti visi darbuotojai (gydytojai, slaugytojai, administracija), ar tik tam tikros pareigybės (vadovai, koordinatoriai, gydytojų komandos atstovai)? (20 punktas)  </w:t>
      </w:r>
    </w:p>
    <w:p w14:paraId="00115FCC" w14:textId="143D32B3" w:rsidR="00FB2863" w:rsidRPr="00A52009"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A52009">
        <w:rPr>
          <w:rFonts w:ascii="Times New Roman" w:hAnsi="Times New Roman" w:cs="Times New Roman"/>
          <w:i/>
          <w:iCs/>
          <w:sz w:val="24"/>
          <w:szCs w:val="24"/>
        </w:rPr>
        <w:t>Apklausoje turi dalyvauti atrinktos pareigybės – vadovai, koordinatoriai, gydytojų komandų atstovai ir kiti darbuotojai, tiesiogiai susiję su paslaugų teikimu ir koordinavimu. </w:t>
      </w:r>
    </w:p>
    <w:p w14:paraId="3594BA93" w14:textId="77777777" w:rsidR="00FB2863" w:rsidRPr="00FB2863" w:rsidRDefault="00FB2863" w:rsidP="00A52009">
      <w:pPr>
        <w:numPr>
          <w:ilvl w:val="0"/>
          <w:numId w:val="47"/>
        </w:numPr>
        <w:spacing w:before="100" w:beforeAutospacing="1" w:after="80" w:line="240" w:lineRule="exact"/>
        <w:jc w:val="both"/>
        <w:rPr>
          <w:rFonts w:ascii="Times New Roman" w:hAnsi="Times New Roman" w:cs="Times New Roman"/>
          <w:sz w:val="24"/>
          <w:szCs w:val="24"/>
        </w:rPr>
      </w:pPr>
      <w:r w:rsidRPr="00FB2863">
        <w:rPr>
          <w:rFonts w:ascii="Times New Roman" w:hAnsi="Times New Roman" w:cs="Times New Roman"/>
          <w:sz w:val="24"/>
          <w:szCs w:val="24"/>
        </w:rPr>
        <w:lastRenderedPageBreak/>
        <w:t>Ar reikalaujama minimalaus apklaustųjų skaičiaus procentine išraiška (pvz., ne mažiau kaip x % centro darbuotojų)? (20 punktas)  </w:t>
      </w:r>
    </w:p>
    <w:p w14:paraId="25C66C5A" w14:textId="750AF551" w:rsidR="00FB2863" w:rsidRPr="00A52009" w:rsidRDefault="00FB2863" w:rsidP="00A52009">
      <w:pPr>
        <w:pStyle w:val="Sraopastraipa"/>
        <w:spacing w:before="100" w:beforeAutospacing="1" w:after="80" w:line="240" w:lineRule="exact"/>
        <w:jc w:val="both"/>
        <w:rPr>
          <w:rFonts w:ascii="Times New Roman" w:hAnsi="Times New Roman" w:cs="Times New Roman"/>
          <w:i/>
          <w:iCs/>
          <w:sz w:val="24"/>
          <w:szCs w:val="24"/>
        </w:rPr>
      </w:pPr>
      <w:r w:rsidRPr="00A52009">
        <w:rPr>
          <w:rFonts w:ascii="Times New Roman" w:hAnsi="Times New Roman" w:cs="Times New Roman"/>
          <w:i/>
          <w:iCs/>
          <w:sz w:val="24"/>
          <w:szCs w:val="24"/>
        </w:rPr>
        <w:t>Minimalus apklaustųjų skaičius procentine išraiška nereglamentuojamas. Tiekėjas turi užtikrinti, kad apklausos imtis būtų pakankama rezultatų reprezentatyvumui pagrįsti. </w:t>
      </w:r>
    </w:p>
    <w:p w14:paraId="48377CBB" w14:textId="7990EA9F" w:rsidR="00FB2863" w:rsidRDefault="00B2004B" w:rsidP="00A52009">
      <w:pPr>
        <w:spacing w:before="100" w:beforeAutospacing="1" w:after="80" w:line="240" w:lineRule="exact"/>
        <w:jc w:val="both"/>
        <w:rPr>
          <w:rFonts w:ascii="Times New Roman" w:hAnsi="Times New Roman" w:cs="Times New Roman"/>
          <w:b/>
          <w:bCs/>
          <w:sz w:val="24"/>
          <w:szCs w:val="24"/>
        </w:rPr>
      </w:pPr>
      <w:r w:rsidRPr="00A048DE">
        <w:rPr>
          <w:rFonts w:ascii="Times New Roman" w:hAnsi="Times New Roman" w:cs="Times New Roman"/>
          <w:b/>
          <w:bCs/>
          <w:sz w:val="24"/>
          <w:szCs w:val="24"/>
        </w:rPr>
        <w:t>Atsižvelgiant į tai, kad</w:t>
      </w:r>
      <w:r w:rsidR="00CD21C0" w:rsidRPr="00A048DE">
        <w:rPr>
          <w:rFonts w:ascii="Times New Roman" w:hAnsi="Times New Roman" w:cs="Times New Roman"/>
          <w:b/>
          <w:bCs/>
          <w:sz w:val="24"/>
          <w:szCs w:val="24"/>
        </w:rPr>
        <w:t xml:space="preserve"> remiantis atsakymais į tiekėjo klausimus, buvo patiks</w:t>
      </w:r>
      <w:r w:rsidR="00B434F4" w:rsidRPr="00A048DE">
        <w:rPr>
          <w:rFonts w:ascii="Times New Roman" w:hAnsi="Times New Roman" w:cs="Times New Roman"/>
          <w:b/>
          <w:bCs/>
          <w:sz w:val="24"/>
          <w:szCs w:val="24"/>
        </w:rPr>
        <w:t>linta ir papildyta techninė specifik</w:t>
      </w:r>
      <w:r w:rsidR="00A048DE" w:rsidRPr="00A048DE">
        <w:rPr>
          <w:rFonts w:ascii="Times New Roman" w:hAnsi="Times New Roman" w:cs="Times New Roman"/>
          <w:b/>
          <w:bCs/>
          <w:sz w:val="24"/>
          <w:szCs w:val="24"/>
        </w:rPr>
        <w:t>a</w:t>
      </w:r>
      <w:r w:rsidR="00B434F4" w:rsidRPr="00A048DE">
        <w:rPr>
          <w:rFonts w:ascii="Times New Roman" w:hAnsi="Times New Roman" w:cs="Times New Roman"/>
          <w:b/>
          <w:bCs/>
          <w:sz w:val="24"/>
          <w:szCs w:val="24"/>
        </w:rPr>
        <w:t>cija</w:t>
      </w:r>
      <w:r w:rsidRPr="00A048DE">
        <w:rPr>
          <w:rFonts w:ascii="Times New Roman" w:hAnsi="Times New Roman" w:cs="Times New Roman"/>
          <w:b/>
          <w:bCs/>
          <w:sz w:val="24"/>
          <w:szCs w:val="24"/>
        </w:rPr>
        <w:t>, nukeliamas pasiūlymų pateikimo terminas iš 2025-10-</w:t>
      </w:r>
      <w:r w:rsidR="00B434F4" w:rsidRPr="00A048DE">
        <w:rPr>
          <w:rFonts w:ascii="Times New Roman" w:hAnsi="Times New Roman" w:cs="Times New Roman"/>
          <w:b/>
          <w:bCs/>
          <w:sz w:val="24"/>
          <w:szCs w:val="24"/>
        </w:rPr>
        <w:t>17</w:t>
      </w:r>
      <w:r w:rsidRPr="00A048DE">
        <w:rPr>
          <w:rFonts w:ascii="Times New Roman" w:hAnsi="Times New Roman" w:cs="Times New Roman"/>
          <w:b/>
          <w:bCs/>
          <w:sz w:val="24"/>
          <w:szCs w:val="24"/>
        </w:rPr>
        <w:t>, 10 val. 00 min. į 2025-10-</w:t>
      </w:r>
      <w:r w:rsidR="00A048DE" w:rsidRPr="00A048DE">
        <w:rPr>
          <w:rFonts w:ascii="Times New Roman" w:hAnsi="Times New Roman" w:cs="Times New Roman"/>
          <w:b/>
          <w:bCs/>
          <w:sz w:val="24"/>
          <w:szCs w:val="24"/>
        </w:rPr>
        <w:t>2</w:t>
      </w:r>
      <w:r w:rsidR="00C93EA7">
        <w:rPr>
          <w:rFonts w:ascii="Times New Roman" w:hAnsi="Times New Roman" w:cs="Times New Roman"/>
          <w:b/>
          <w:bCs/>
          <w:sz w:val="24"/>
          <w:szCs w:val="24"/>
        </w:rPr>
        <w:t>2</w:t>
      </w:r>
      <w:r w:rsidRPr="00A048DE">
        <w:rPr>
          <w:rFonts w:ascii="Times New Roman" w:hAnsi="Times New Roman" w:cs="Times New Roman"/>
          <w:b/>
          <w:bCs/>
          <w:sz w:val="24"/>
          <w:szCs w:val="24"/>
        </w:rPr>
        <w:t>, 10 val. 00 min.</w:t>
      </w:r>
    </w:p>
    <w:p w14:paraId="5B2D5CDA" w14:textId="77777777" w:rsidR="00A048DE" w:rsidRPr="00A048DE" w:rsidRDefault="00A048DE" w:rsidP="00397B5E">
      <w:pPr>
        <w:spacing w:before="100" w:beforeAutospacing="1" w:after="80" w:line="240" w:lineRule="exact"/>
        <w:jc w:val="both"/>
        <w:rPr>
          <w:rFonts w:ascii="Times New Roman" w:hAnsi="Times New Roman" w:cs="Times New Roman"/>
          <w:b/>
          <w:bCs/>
          <w:sz w:val="24"/>
          <w:szCs w:val="24"/>
        </w:rPr>
      </w:pPr>
    </w:p>
    <w:p w14:paraId="08720830" w14:textId="54D631A2" w:rsidR="00AE0355" w:rsidRPr="00AE0355" w:rsidRDefault="00AE0355" w:rsidP="00397B5E">
      <w:pPr>
        <w:jc w:val="both"/>
        <w:rPr>
          <w:rFonts w:ascii="Times New Roman" w:hAnsi="Times New Roman" w:cs="Times New Roman"/>
          <w:b/>
          <w:bCs/>
          <w:sz w:val="24"/>
          <w:szCs w:val="24"/>
        </w:rPr>
      </w:pPr>
      <w:r w:rsidRPr="00AE0355">
        <w:rPr>
          <w:rFonts w:ascii="Times New Roman" w:hAnsi="Times New Roman" w:cs="Times New Roman"/>
          <w:b/>
          <w:bCs/>
          <w:sz w:val="24"/>
          <w:szCs w:val="24"/>
        </w:rPr>
        <w:t>Ši</w:t>
      </w:r>
      <w:r>
        <w:rPr>
          <w:rFonts w:ascii="Times New Roman" w:hAnsi="Times New Roman" w:cs="Times New Roman"/>
          <w:b/>
          <w:bCs/>
          <w:sz w:val="24"/>
          <w:szCs w:val="24"/>
        </w:rPr>
        <w:t>e</w:t>
      </w:r>
      <w:r w:rsidRPr="00AE0355">
        <w:rPr>
          <w:rFonts w:ascii="Times New Roman" w:hAnsi="Times New Roman" w:cs="Times New Roman"/>
          <w:b/>
          <w:bCs/>
          <w:sz w:val="24"/>
          <w:szCs w:val="24"/>
        </w:rPr>
        <w:t xml:space="preserve"> pirkimo dokumentų paaiškinima</w:t>
      </w:r>
      <w:r>
        <w:rPr>
          <w:rFonts w:ascii="Times New Roman" w:hAnsi="Times New Roman" w:cs="Times New Roman"/>
          <w:b/>
          <w:bCs/>
          <w:sz w:val="24"/>
          <w:szCs w:val="24"/>
        </w:rPr>
        <w:t>i</w:t>
      </w:r>
      <w:r w:rsidRPr="00AE0355">
        <w:rPr>
          <w:rFonts w:ascii="Times New Roman" w:hAnsi="Times New Roman" w:cs="Times New Roman"/>
          <w:b/>
          <w:bCs/>
          <w:sz w:val="24"/>
          <w:szCs w:val="24"/>
        </w:rPr>
        <w:t>/patikslinima</w:t>
      </w:r>
      <w:r>
        <w:rPr>
          <w:rFonts w:ascii="Times New Roman" w:hAnsi="Times New Roman" w:cs="Times New Roman"/>
          <w:b/>
          <w:bCs/>
          <w:sz w:val="24"/>
          <w:szCs w:val="24"/>
        </w:rPr>
        <w:t>i</w:t>
      </w:r>
      <w:r w:rsidRPr="00AE0355">
        <w:rPr>
          <w:rFonts w:ascii="Times New Roman" w:hAnsi="Times New Roman" w:cs="Times New Roman"/>
          <w:b/>
          <w:bCs/>
          <w:sz w:val="24"/>
          <w:szCs w:val="24"/>
        </w:rPr>
        <w:t xml:space="preserve"> yra neatskiriama pirkimo dokumentų dalis.</w:t>
      </w:r>
    </w:p>
    <w:p w14:paraId="12D0D58D" w14:textId="77777777" w:rsidR="00827037" w:rsidRPr="00FB2863" w:rsidRDefault="00827037">
      <w:pPr>
        <w:rPr>
          <w:rFonts w:ascii="Times New Roman" w:hAnsi="Times New Roman" w:cs="Times New Roman"/>
          <w:sz w:val="24"/>
          <w:szCs w:val="24"/>
        </w:rPr>
      </w:pPr>
    </w:p>
    <w:sectPr w:rsidR="00827037" w:rsidRPr="00FB2863" w:rsidSect="00A52009">
      <w:pgSz w:w="11906" w:h="16838"/>
      <w:pgMar w:top="851" w:right="567" w:bottom="90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31C"/>
    <w:multiLevelType w:val="multilevel"/>
    <w:tmpl w:val="C54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15174"/>
    <w:multiLevelType w:val="multilevel"/>
    <w:tmpl w:val="287E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A1F5A"/>
    <w:multiLevelType w:val="multilevel"/>
    <w:tmpl w:val="0D7C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C3B63"/>
    <w:multiLevelType w:val="multilevel"/>
    <w:tmpl w:val="229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B6F9A"/>
    <w:multiLevelType w:val="multilevel"/>
    <w:tmpl w:val="5F34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01325"/>
    <w:multiLevelType w:val="multilevel"/>
    <w:tmpl w:val="3B44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205EED"/>
    <w:multiLevelType w:val="hybridMultilevel"/>
    <w:tmpl w:val="CC708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230C79"/>
    <w:multiLevelType w:val="hybridMultilevel"/>
    <w:tmpl w:val="3BF802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29A5C69"/>
    <w:multiLevelType w:val="multilevel"/>
    <w:tmpl w:val="E26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6768C"/>
    <w:multiLevelType w:val="multilevel"/>
    <w:tmpl w:val="453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B4E04"/>
    <w:multiLevelType w:val="multilevel"/>
    <w:tmpl w:val="7B8A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BB5E4B"/>
    <w:multiLevelType w:val="multilevel"/>
    <w:tmpl w:val="375E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AF034A"/>
    <w:multiLevelType w:val="multilevel"/>
    <w:tmpl w:val="A696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25F26"/>
    <w:multiLevelType w:val="hybridMultilevel"/>
    <w:tmpl w:val="154C72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9184694"/>
    <w:multiLevelType w:val="multilevel"/>
    <w:tmpl w:val="B4B0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33320D"/>
    <w:multiLevelType w:val="hybridMultilevel"/>
    <w:tmpl w:val="BD862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3434D6"/>
    <w:multiLevelType w:val="multilevel"/>
    <w:tmpl w:val="4B2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694339"/>
    <w:multiLevelType w:val="multilevel"/>
    <w:tmpl w:val="262C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7758CE"/>
    <w:multiLevelType w:val="multilevel"/>
    <w:tmpl w:val="2ED8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477F2D"/>
    <w:multiLevelType w:val="hybridMultilevel"/>
    <w:tmpl w:val="7B8E56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D93028"/>
    <w:multiLevelType w:val="multilevel"/>
    <w:tmpl w:val="7A0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DD1878"/>
    <w:multiLevelType w:val="multilevel"/>
    <w:tmpl w:val="C46C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A3B0A"/>
    <w:multiLevelType w:val="multilevel"/>
    <w:tmpl w:val="3BBA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154B95"/>
    <w:multiLevelType w:val="multilevel"/>
    <w:tmpl w:val="CFFA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1F5552"/>
    <w:multiLevelType w:val="multilevel"/>
    <w:tmpl w:val="D90E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5F5F74"/>
    <w:multiLevelType w:val="multilevel"/>
    <w:tmpl w:val="595E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CC331F"/>
    <w:multiLevelType w:val="multilevel"/>
    <w:tmpl w:val="D000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DD0F70"/>
    <w:multiLevelType w:val="multilevel"/>
    <w:tmpl w:val="C48C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000D1"/>
    <w:multiLevelType w:val="multilevel"/>
    <w:tmpl w:val="F070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C51C4F"/>
    <w:multiLevelType w:val="multilevel"/>
    <w:tmpl w:val="515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C727B1"/>
    <w:multiLevelType w:val="multilevel"/>
    <w:tmpl w:val="B3F4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9D16B8"/>
    <w:multiLevelType w:val="multilevel"/>
    <w:tmpl w:val="81DC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7732BE"/>
    <w:multiLevelType w:val="multilevel"/>
    <w:tmpl w:val="B006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E00EC"/>
    <w:multiLevelType w:val="multilevel"/>
    <w:tmpl w:val="0A9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952AA1"/>
    <w:multiLevelType w:val="multilevel"/>
    <w:tmpl w:val="42AE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905E56"/>
    <w:multiLevelType w:val="multilevel"/>
    <w:tmpl w:val="CDCA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BE3AB8"/>
    <w:multiLevelType w:val="multilevel"/>
    <w:tmpl w:val="CED4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320436"/>
    <w:multiLevelType w:val="multilevel"/>
    <w:tmpl w:val="93AA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320CBD"/>
    <w:multiLevelType w:val="multilevel"/>
    <w:tmpl w:val="B63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353C40"/>
    <w:multiLevelType w:val="multilevel"/>
    <w:tmpl w:val="5D98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AB0627"/>
    <w:multiLevelType w:val="multilevel"/>
    <w:tmpl w:val="8FA8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4E0149"/>
    <w:multiLevelType w:val="multilevel"/>
    <w:tmpl w:val="DF0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1763B0"/>
    <w:multiLevelType w:val="multilevel"/>
    <w:tmpl w:val="4778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EF369D"/>
    <w:multiLevelType w:val="multilevel"/>
    <w:tmpl w:val="EB9C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345E7F"/>
    <w:multiLevelType w:val="multilevel"/>
    <w:tmpl w:val="1502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474D9F"/>
    <w:multiLevelType w:val="multilevel"/>
    <w:tmpl w:val="1F28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11125E"/>
    <w:multiLevelType w:val="multilevel"/>
    <w:tmpl w:val="C944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2628266">
    <w:abstractNumId w:val="18"/>
  </w:num>
  <w:num w:numId="2" w16cid:durableId="1094787546">
    <w:abstractNumId w:val="5"/>
  </w:num>
  <w:num w:numId="3" w16cid:durableId="968776435">
    <w:abstractNumId w:val="33"/>
  </w:num>
  <w:num w:numId="4" w16cid:durableId="1055086773">
    <w:abstractNumId w:val="38"/>
  </w:num>
  <w:num w:numId="5" w16cid:durableId="193078863">
    <w:abstractNumId w:val="40"/>
  </w:num>
  <w:num w:numId="6" w16cid:durableId="1287006599">
    <w:abstractNumId w:val="30"/>
  </w:num>
  <w:num w:numId="7" w16cid:durableId="1275164212">
    <w:abstractNumId w:val="21"/>
  </w:num>
  <w:num w:numId="8" w16cid:durableId="1644966057">
    <w:abstractNumId w:val="44"/>
  </w:num>
  <w:num w:numId="9" w16cid:durableId="1008170926">
    <w:abstractNumId w:val="46"/>
  </w:num>
  <w:num w:numId="10" w16cid:durableId="336464308">
    <w:abstractNumId w:val="9"/>
  </w:num>
  <w:num w:numId="11" w16cid:durableId="39133602">
    <w:abstractNumId w:val="45"/>
  </w:num>
  <w:num w:numId="12" w16cid:durableId="259991542">
    <w:abstractNumId w:val="1"/>
  </w:num>
  <w:num w:numId="13" w16cid:durableId="942885371">
    <w:abstractNumId w:val="23"/>
  </w:num>
  <w:num w:numId="14" w16cid:durableId="442654488">
    <w:abstractNumId w:val="37"/>
  </w:num>
  <w:num w:numId="15" w16cid:durableId="732655167">
    <w:abstractNumId w:val="39"/>
  </w:num>
  <w:num w:numId="16" w16cid:durableId="1459488910">
    <w:abstractNumId w:val="17"/>
  </w:num>
  <w:num w:numId="17" w16cid:durableId="784033889">
    <w:abstractNumId w:val="28"/>
  </w:num>
  <w:num w:numId="18" w16cid:durableId="792136143">
    <w:abstractNumId w:val="11"/>
  </w:num>
  <w:num w:numId="19" w16cid:durableId="180554585">
    <w:abstractNumId w:val="4"/>
  </w:num>
  <w:num w:numId="20" w16cid:durableId="1319117785">
    <w:abstractNumId w:val="42"/>
  </w:num>
  <w:num w:numId="21" w16cid:durableId="1226453964">
    <w:abstractNumId w:val="41"/>
  </w:num>
  <w:num w:numId="22" w16cid:durableId="176500807">
    <w:abstractNumId w:val="25"/>
  </w:num>
  <w:num w:numId="23" w16cid:durableId="2081980052">
    <w:abstractNumId w:val="22"/>
  </w:num>
  <w:num w:numId="24" w16cid:durableId="301469994">
    <w:abstractNumId w:val="27"/>
  </w:num>
  <w:num w:numId="25" w16cid:durableId="1800105263">
    <w:abstractNumId w:val="12"/>
  </w:num>
  <w:num w:numId="26" w16cid:durableId="808476889">
    <w:abstractNumId w:val="36"/>
  </w:num>
  <w:num w:numId="27" w16cid:durableId="1622952353">
    <w:abstractNumId w:val="14"/>
  </w:num>
  <w:num w:numId="28" w16cid:durableId="1283805059">
    <w:abstractNumId w:val="35"/>
  </w:num>
  <w:num w:numId="29" w16cid:durableId="1282302271">
    <w:abstractNumId w:val="3"/>
  </w:num>
  <w:num w:numId="30" w16cid:durableId="2129741348">
    <w:abstractNumId w:val="43"/>
  </w:num>
  <w:num w:numId="31" w16cid:durableId="1034234277">
    <w:abstractNumId w:val="10"/>
  </w:num>
  <w:num w:numId="32" w16cid:durableId="1354725879">
    <w:abstractNumId w:val="31"/>
  </w:num>
  <w:num w:numId="33" w16cid:durableId="603264872">
    <w:abstractNumId w:val="24"/>
  </w:num>
  <w:num w:numId="34" w16cid:durableId="651444705">
    <w:abstractNumId w:val="16"/>
  </w:num>
  <w:num w:numId="35" w16cid:durableId="1236821011">
    <w:abstractNumId w:val="8"/>
  </w:num>
  <w:num w:numId="36" w16cid:durableId="427509773">
    <w:abstractNumId w:val="0"/>
  </w:num>
  <w:num w:numId="37" w16cid:durableId="1197156993">
    <w:abstractNumId w:val="29"/>
  </w:num>
  <w:num w:numId="38" w16cid:durableId="586768486">
    <w:abstractNumId w:val="32"/>
  </w:num>
  <w:num w:numId="39" w16cid:durableId="611330072">
    <w:abstractNumId w:val="34"/>
  </w:num>
  <w:num w:numId="40" w16cid:durableId="1841385130">
    <w:abstractNumId w:val="26"/>
  </w:num>
  <w:num w:numId="41" w16cid:durableId="1845433753">
    <w:abstractNumId w:val="2"/>
  </w:num>
  <w:num w:numId="42" w16cid:durableId="198277340">
    <w:abstractNumId w:val="20"/>
  </w:num>
  <w:num w:numId="43" w16cid:durableId="657419429">
    <w:abstractNumId w:val="19"/>
  </w:num>
  <w:num w:numId="44" w16cid:durableId="917791114">
    <w:abstractNumId w:val="15"/>
  </w:num>
  <w:num w:numId="45" w16cid:durableId="514853992">
    <w:abstractNumId w:val="7"/>
  </w:num>
  <w:num w:numId="46" w16cid:durableId="1608003767">
    <w:abstractNumId w:val="13"/>
  </w:num>
  <w:num w:numId="47" w16cid:durableId="96732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63"/>
    <w:rsid w:val="00033ADA"/>
    <w:rsid w:val="00145479"/>
    <w:rsid w:val="00157099"/>
    <w:rsid w:val="002547D7"/>
    <w:rsid w:val="002D2041"/>
    <w:rsid w:val="00397B5E"/>
    <w:rsid w:val="00565935"/>
    <w:rsid w:val="00631878"/>
    <w:rsid w:val="00827037"/>
    <w:rsid w:val="00862C9C"/>
    <w:rsid w:val="00934AC0"/>
    <w:rsid w:val="00983551"/>
    <w:rsid w:val="00A048DE"/>
    <w:rsid w:val="00A23283"/>
    <w:rsid w:val="00A52009"/>
    <w:rsid w:val="00AE0355"/>
    <w:rsid w:val="00B2004B"/>
    <w:rsid w:val="00B434F4"/>
    <w:rsid w:val="00C93EA7"/>
    <w:rsid w:val="00CA504D"/>
    <w:rsid w:val="00CD21C0"/>
    <w:rsid w:val="00DA326A"/>
    <w:rsid w:val="00FB2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A947"/>
  <w15:chartTrackingRefBased/>
  <w15:docId w15:val="{ED071C2B-DBDA-4D81-9CC8-ABD76D45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B28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B28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B286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B286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B286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B28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8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8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8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86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B286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B286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B286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B286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B28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8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8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8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8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8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8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8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863"/>
    <w:rPr>
      <w:i/>
      <w:iCs/>
      <w:color w:val="404040" w:themeColor="text1" w:themeTint="BF"/>
    </w:rPr>
  </w:style>
  <w:style w:type="paragraph" w:styleId="Sraopastraipa">
    <w:name w:val="List Paragraph"/>
    <w:basedOn w:val="prastasis"/>
    <w:uiPriority w:val="34"/>
    <w:qFormat/>
    <w:rsid w:val="00FB2863"/>
    <w:pPr>
      <w:ind w:left="720"/>
      <w:contextualSpacing/>
    </w:pPr>
  </w:style>
  <w:style w:type="character" w:styleId="Rykuspabraukimas">
    <w:name w:val="Intense Emphasis"/>
    <w:basedOn w:val="Numatytasispastraiposriftas"/>
    <w:uiPriority w:val="21"/>
    <w:qFormat/>
    <w:rsid w:val="00FB2863"/>
    <w:rPr>
      <w:i/>
      <w:iCs/>
      <w:color w:val="2F5496" w:themeColor="accent1" w:themeShade="BF"/>
    </w:rPr>
  </w:style>
  <w:style w:type="paragraph" w:styleId="Iskirtacitata">
    <w:name w:val="Intense Quote"/>
    <w:basedOn w:val="prastasis"/>
    <w:next w:val="prastasis"/>
    <w:link w:val="IskirtacitataDiagrama"/>
    <w:uiPriority w:val="30"/>
    <w:qFormat/>
    <w:rsid w:val="00FB2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B2863"/>
    <w:rPr>
      <w:i/>
      <w:iCs/>
      <w:color w:val="2F5496" w:themeColor="accent1" w:themeShade="BF"/>
    </w:rPr>
  </w:style>
  <w:style w:type="character" w:styleId="Rykinuoroda">
    <w:name w:val="Intense Reference"/>
    <w:basedOn w:val="Numatytasispastraiposriftas"/>
    <w:uiPriority w:val="32"/>
    <w:qFormat/>
    <w:rsid w:val="00FB2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8992</Words>
  <Characters>5127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Abromavičienė</dc:creator>
  <cp:keywords/>
  <dc:description/>
  <cp:lastModifiedBy>Gediminas Širvinskas</cp:lastModifiedBy>
  <cp:revision>16</cp:revision>
  <dcterms:created xsi:type="dcterms:W3CDTF">2025-10-06T13:11:00Z</dcterms:created>
  <dcterms:modified xsi:type="dcterms:W3CDTF">2025-10-14T13:35:00Z</dcterms:modified>
</cp:coreProperties>
</file>