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70A3" w14:textId="77777777" w:rsidR="00333737" w:rsidRPr="00AA1A95" w:rsidRDefault="00333737" w:rsidP="00333737">
      <w:pPr>
        <w:jc w:val="center"/>
        <w:rPr>
          <w:rFonts w:ascii="Times New Roman" w:hAnsi="Times New Roman" w:cs="Times New Roman"/>
          <w:b/>
          <w:bCs/>
          <w:sz w:val="24"/>
          <w:szCs w:val="24"/>
        </w:rPr>
      </w:pPr>
      <w:r w:rsidRPr="00AA1A95">
        <w:rPr>
          <w:rFonts w:ascii="Times New Roman" w:hAnsi="Times New Roman" w:cs="Times New Roman"/>
          <w:b/>
          <w:bCs/>
          <w:sz w:val="24"/>
          <w:szCs w:val="24"/>
        </w:rPr>
        <w:t xml:space="preserve">TECHNINĖ SPECIFIKACIJA </w:t>
      </w:r>
    </w:p>
    <w:p w14:paraId="7F1FC54F" w14:textId="193DEC6A" w:rsidR="00333737" w:rsidRPr="00AA1A95" w:rsidRDefault="00333737" w:rsidP="00333737">
      <w:pPr>
        <w:jc w:val="center"/>
        <w:rPr>
          <w:rFonts w:ascii="Times New Roman" w:hAnsi="Times New Roman" w:cs="Times New Roman"/>
          <w:b/>
          <w:bCs/>
          <w:sz w:val="24"/>
          <w:szCs w:val="24"/>
        </w:rPr>
      </w:pPr>
      <w:r w:rsidRPr="00AA1A95">
        <w:rPr>
          <w:rFonts w:ascii="Times New Roman" w:hAnsi="Times New Roman" w:cs="Times New Roman"/>
          <w:b/>
          <w:bCs/>
          <w:sz w:val="24"/>
          <w:szCs w:val="24"/>
        </w:rPr>
        <w:t>SVEIKATOS CENTRO VEIKLOS KOORDINAVIMO GAIRIŲ (REKOMENDACIJŲ) PARENGIMAS</w:t>
      </w:r>
    </w:p>
    <w:p w14:paraId="07968593" w14:textId="77777777" w:rsidR="006237F3" w:rsidRPr="00AA1A95" w:rsidRDefault="006237F3" w:rsidP="00333737">
      <w:pPr>
        <w:jc w:val="center"/>
        <w:rPr>
          <w:rFonts w:ascii="Times New Roman" w:hAnsi="Times New Roman" w:cs="Times New Roman"/>
          <w:b/>
          <w:bCs/>
          <w:sz w:val="24"/>
          <w:szCs w:val="24"/>
        </w:rPr>
      </w:pPr>
    </w:p>
    <w:p w14:paraId="60EBEB37" w14:textId="3A44F91C" w:rsidR="00333737" w:rsidRPr="00AA1A95" w:rsidRDefault="00333737" w:rsidP="000C2C9E">
      <w:pPr>
        <w:spacing w:line="280" w:lineRule="atLeast"/>
        <w:rPr>
          <w:rFonts w:ascii="Times New Roman" w:hAnsi="Times New Roman" w:cs="Times New Roman"/>
          <w:sz w:val="24"/>
          <w:szCs w:val="24"/>
          <w:lang w:val="lt-LT"/>
        </w:rPr>
      </w:pPr>
      <w:r w:rsidRPr="00AA1A95">
        <w:rPr>
          <w:rFonts w:ascii="Times New Roman" w:hAnsi="Times New Roman" w:cs="Times New Roman"/>
          <w:b/>
          <w:bCs/>
          <w:sz w:val="24"/>
          <w:szCs w:val="24"/>
          <w:lang w:val="lt-LT"/>
        </w:rPr>
        <w:t>Projektas:  </w:t>
      </w:r>
      <w:r w:rsidR="00AC4A67" w:rsidRPr="00AA1A95">
        <w:rPr>
          <w:rFonts w:ascii="Times New Roman" w:hAnsi="Times New Roman" w:cs="Times New Roman"/>
          <w:sz w:val="24"/>
          <w:szCs w:val="24"/>
          <w:lang w:val="lt-LT"/>
        </w:rPr>
        <w:t xml:space="preserve">2021–2027 m. Europos Sąjungos (ES) fondų investicijų programos </w:t>
      </w:r>
      <w:r w:rsidRPr="00AA1A95">
        <w:rPr>
          <w:rFonts w:ascii="Times New Roman" w:hAnsi="Times New Roman" w:cs="Times New Roman"/>
          <w:sz w:val="24"/>
          <w:szCs w:val="24"/>
          <w:lang w:val="lt-LT"/>
        </w:rPr>
        <w:t xml:space="preserve">Nr. 09-023-P-0042  „Efektyvus savivaldybės sveikatos centro veiklos organizavimas ir savivaldybės sveikatos reikalų koordinavimas“ </w:t>
      </w:r>
    </w:p>
    <w:p w14:paraId="7D9FAF0F" w14:textId="7ED25C37" w:rsidR="000C2C9E" w:rsidRPr="00AA1A95" w:rsidRDefault="000C2C9E" w:rsidP="000C2C9E">
      <w:pPr>
        <w:spacing w:line="280" w:lineRule="atLeast"/>
        <w:rPr>
          <w:rFonts w:ascii="Times New Roman" w:hAnsi="Times New Roman" w:cs="Times New Roman"/>
          <w:sz w:val="24"/>
          <w:szCs w:val="24"/>
          <w:lang w:val="lt-LT"/>
        </w:rPr>
      </w:pPr>
      <w:r w:rsidRPr="00AA1A95">
        <w:rPr>
          <w:rFonts w:ascii="Times New Roman" w:hAnsi="Times New Roman" w:cs="Times New Roman"/>
          <w:b/>
          <w:bCs/>
          <w:sz w:val="24"/>
          <w:szCs w:val="24"/>
          <w:lang w:val="lt-LT"/>
        </w:rPr>
        <w:t xml:space="preserve">Projektą įgyvendina: </w:t>
      </w:r>
      <w:r w:rsidRPr="00AA1A95">
        <w:rPr>
          <w:rFonts w:ascii="Times New Roman" w:hAnsi="Times New Roman" w:cs="Times New Roman"/>
          <w:sz w:val="24"/>
          <w:szCs w:val="24"/>
          <w:lang w:val="lt-LT"/>
        </w:rPr>
        <w:t>Lietuvos Respublikos sveikatos apsaugos ministerija (toliau – Ministerija)</w:t>
      </w:r>
    </w:p>
    <w:p w14:paraId="35AD16A1" w14:textId="77777777" w:rsidR="0071013A" w:rsidRPr="00AA1A95" w:rsidRDefault="00937BC8" w:rsidP="000C2C9E">
      <w:pPr>
        <w:pStyle w:val="Antrat2"/>
        <w:spacing w:before="0" w:after="200" w:line="280" w:lineRule="atLeast"/>
        <w:rPr>
          <w:rFonts w:ascii="Times New Roman" w:hAnsi="Times New Roman" w:cs="Times New Roman"/>
          <w:color w:val="auto"/>
          <w:sz w:val="24"/>
          <w:szCs w:val="24"/>
          <w:lang w:val="lt-LT"/>
        </w:rPr>
      </w:pPr>
      <w:r w:rsidRPr="00AA1A95">
        <w:rPr>
          <w:rFonts w:ascii="Times New Roman" w:hAnsi="Times New Roman" w:cs="Times New Roman"/>
          <w:color w:val="auto"/>
          <w:sz w:val="24"/>
          <w:szCs w:val="24"/>
          <w:lang w:val="lt-LT"/>
        </w:rPr>
        <w:t>1. Projekto esmė</w:t>
      </w:r>
    </w:p>
    <w:p w14:paraId="3777F3CE" w14:textId="78272215" w:rsidR="00D30526" w:rsidRPr="00AA1A95" w:rsidRDefault="00937BC8" w:rsidP="00BB0499">
      <w:pPr>
        <w:spacing w:after="80"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Kokybiškų paslaugų prieinamumo užtikrinimas, ilgalaikių eilių mažinimo veiksmų įgyvendinimas, trumpesnis paslaugų laukimo laikas didžiausios rizikos pacientams –</w:t>
      </w:r>
      <w:r w:rsidR="000337E2" w:rsidRPr="00AA1A95">
        <w:rPr>
          <w:rFonts w:ascii="Times New Roman" w:hAnsi="Times New Roman" w:cs="Times New Roman"/>
          <w:sz w:val="24"/>
          <w:szCs w:val="24"/>
          <w:lang w:val="lt-LT"/>
        </w:rPr>
        <w:t xml:space="preserve"> XX</w:t>
      </w:r>
      <w:r w:rsidR="00E53BD1" w:rsidRPr="00AA1A95">
        <w:rPr>
          <w:rFonts w:ascii="Times New Roman" w:hAnsi="Times New Roman" w:cs="Times New Roman"/>
          <w:sz w:val="24"/>
          <w:szCs w:val="24"/>
          <w:lang w:val="lt-LT"/>
        </w:rPr>
        <w:t xml:space="preserve"> </w:t>
      </w:r>
      <w:r w:rsidRPr="00AA1A95">
        <w:rPr>
          <w:rFonts w:ascii="Times New Roman" w:hAnsi="Times New Roman" w:cs="Times New Roman"/>
          <w:sz w:val="24"/>
          <w:szCs w:val="24"/>
          <w:lang w:val="lt-LT"/>
        </w:rPr>
        <w:t>Vyriausybės programo</w:t>
      </w:r>
      <w:r w:rsidR="00BB0499" w:rsidRPr="00AA1A95">
        <w:rPr>
          <w:rFonts w:ascii="Times New Roman" w:hAnsi="Times New Roman" w:cs="Times New Roman"/>
          <w:sz w:val="24"/>
          <w:szCs w:val="24"/>
          <w:lang w:val="lt-LT"/>
        </w:rPr>
        <w:t>se</w:t>
      </w:r>
      <w:r w:rsidRPr="00AA1A95">
        <w:rPr>
          <w:rFonts w:ascii="Times New Roman" w:hAnsi="Times New Roman" w:cs="Times New Roman"/>
          <w:sz w:val="24"/>
          <w:szCs w:val="24"/>
          <w:lang w:val="lt-LT"/>
        </w:rPr>
        <w:t xml:space="preserve"> numatytos veiklos kryptys.</w:t>
      </w:r>
      <w:r w:rsidR="00282B91" w:rsidRPr="00AA1A95">
        <w:rPr>
          <w:rFonts w:ascii="Times New Roman" w:hAnsi="Times New Roman" w:cs="Times New Roman"/>
          <w:sz w:val="24"/>
          <w:szCs w:val="24"/>
          <w:lang w:val="lt-LT"/>
        </w:rPr>
        <w:t xml:space="preserve"> </w:t>
      </w:r>
    </w:p>
    <w:p w14:paraId="22F839B5" w14:textId="7716936D" w:rsidR="00D30526" w:rsidRPr="00AA1A95" w:rsidRDefault="00937BC8" w:rsidP="0082334C">
      <w:pPr>
        <w:spacing w:after="80"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Siekdama užtikrinti asmens sveikatos priežiūros paslaugų prieinamumą,</w:t>
      </w:r>
      <w:r w:rsidR="000C2C9E" w:rsidRPr="00AA1A95">
        <w:rPr>
          <w:rFonts w:ascii="Times New Roman" w:hAnsi="Times New Roman" w:cs="Times New Roman"/>
          <w:sz w:val="24"/>
          <w:szCs w:val="24"/>
          <w:lang w:val="lt-LT"/>
        </w:rPr>
        <w:t xml:space="preserve"> M</w:t>
      </w:r>
      <w:r w:rsidRPr="00AA1A95">
        <w:rPr>
          <w:rFonts w:ascii="Times New Roman" w:hAnsi="Times New Roman" w:cs="Times New Roman"/>
          <w:sz w:val="24"/>
          <w:szCs w:val="24"/>
          <w:lang w:val="lt-LT"/>
        </w:rPr>
        <w:t>inisterija įgyvendina sveikatos centrų modelį, kurio tikslas – sutelkti savivaldybės teritorijoje veikiančias sveikatos priežiūros įstaigas bendradarbiauti ir kartu teikti saugias bei kokybiškas paslaugas gyventojams ir taip mažinti laukimo eiles pas šeimos gydytojus (planinėms paslaugoms iki 7 dienų) bei gydytojus specialistus (per 30 dienų).</w:t>
      </w:r>
    </w:p>
    <w:p w14:paraId="6DBF7C08" w14:textId="77777777" w:rsidR="00D30526" w:rsidRPr="00AA1A95" w:rsidRDefault="00937BC8" w:rsidP="0082334C">
      <w:pPr>
        <w:spacing w:after="80"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Sveikatos centras – tai viena iš savivaldybės sveikatos priežiūros įstaigų, kuri, įtraukdama viešąsias bei privačias įstaigas, užtikrina bazinių sveikatos priežiūros paslaugų teikimą savivaldybėje. Modelis grindžiamas tinkliniu valdymu, bendradarbiavimo kultūra ir paciento gerovės prioritetu.</w:t>
      </w:r>
    </w:p>
    <w:p w14:paraId="2F957FF6" w14:textId="77777777" w:rsidR="00D30526" w:rsidRPr="00AA1A95" w:rsidRDefault="00937BC8" w:rsidP="0082334C">
      <w:pPr>
        <w:spacing w:after="80"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Sveikatos centras, veikiantis pagal „vieno langelio“ principą, bendradarbiaujant įstaigoms ir taikant atvejo vadybą, turi užtikrinti savalaikį ir aiškų pacientų patekimą prie reikalingų asmens sveikatos priežiūros paslaugų, tokiu būdu didinant jų prieinamumą ir kokybę bei mažinant pacientų laukimo eiles. Paslaugos turi būti teikiamos koordinuotai, laiku ir būti orientuotos į tikslinių pacientų grupių poreikius.</w:t>
      </w:r>
    </w:p>
    <w:p w14:paraId="26F1A83E" w14:textId="77777777" w:rsidR="00D30526" w:rsidRPr="00AA1A95" w:rsidRDefault="00937BC8" w:rsidP="0082334C">
      <w:pPr>
        <w:spacing w:after="80"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 xml:space="preserve">Planuojama svarstyti ir pacientų </w:t>
      </w:r>
      <w:proofErr w:type="spellStart"/>
      <w:r w:rsidRPr="00AA1A95">
        <w:rPr>
          <w:rFonts w:ascii="Times New Roman" w:hAnsi="Times New Roman" w:cs="Times New Roman"/>
          <w:sz w:val="24"/>
          <w:szCs w:val="24"/>
          <w:lang w:val="lt-LT"/>
        </w:rPr>
        <w:t>triažo</w:t>
      </w:r>
      <w:proofErr w:type="spellEnd"/>
      <w:r w:rsidRPr="00AA1A95">
        <w:rPr>
          <w:rFonts w:ascii="Times New Roman" w:hAnsi="Times New Roman" w:cs="Times New Roman"/>
          <w:sz w:val="24"/>
          <w:szCs w:val="24"/>
          <w:lang w:val="lt-LT"/>
        </w:rPr>
        <w:t xml:space="preserve"> sistemos sukūrimą, leidžiančią preliminariai įvertinti paciento būklę, riziką bei nustatyti paslaugos suteikimo prioritetą. Tam gali būti pasitelkti skaitmeniniai įrankiai e. sveikatoje ir (ar) išankstinėje pacientų registracijos sistemoje (IPR), kurie leistų dalį tyrimų ar paruošiamųjų veiksmų atlikti dar prieš atvykstant į gydytojo konsultaciją.</w:t>
      </w:r>
    </w:p>
    <w:p w14:paraId="42D03614" w14:textId="6E46A33F" w:rsidR="00D30526" w:rsidRPr="00AA1A95" w:rsidRDefault="00937BC8" w:rsidP="0082334C">
      <w:pPr>
        <w:spacing w:after="80"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Remiantis Lietuvos Respublikos sveikatos apsaugos ministro 2023 m. gegužės 22 d. įsakymu Nr. V-589, funkcinio sveikatos centro veiklą koordinuoja viena iš dalyvaujančių įstaigų, o prižiūri – koordinacinė grupė.</w:t>
      </w:r>
    </w:p>
    <w:p w14:paraId="4C49F7E1" w14:textId="5664D3F5" w:rsidR="0071013A" w:rsidRPr="00AA1A95" w:rsidRDefault="00937BC8" w:rsidP="0082334C">
      <w:pPr>
        <w:spacing w:after="80"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 xml:space="preserve">Šiuo metu veikia </w:t>
      </w:r>
      <w:r w:rsidR="00E73058" w:rsidRPr="00AA1A95">
        <w:rPr>
          <w:rFonts w:ascii="Times New Roman" w:hAnsi="Times New Roman" w:cs="Times New Roman"/>
          <w:sz w:val="24"/>
          <w:szCs w:val="24"/>
        </w:rPr>
        <w:t>50</w:t>
      </w:r>
      <w:r w:rsidRPr="00AA1A95">
        <w:rPr>
          <w:rFonts w:ascii="Times New Roman" w:hAnsi="Times New Roman" w:cs="Times New Roman"/>
          <w:sz w:val="24"/>
          <w:szCs w:val="24"/>
          <w:lang w:val="lt-LT"/>
        </w:rPr>
        <w:t xml:space="preserve"> funkcini</w:t>
      </w:r>
      <w:r w:rsidR="00E73058" w:rsidRPr="00AA1A95">
        <w:rPr>
          <w:rFonts w:ascii="Times New Roman" w:hAnsi="Times New Roman" w:cs="Times New Roman"/>
          <w:sz w:val="24"/>
          <w:szCs w:val="24"/>
          <w:lang w:val="lt-LT"/>
        </w:rPr>
        <w:t>ų</w:t>
      </w:r>
      <w:r w:rsidRPr="00AA1A95">
        <w:rPr>
          <w:rFonts w:ascii="Times New Roman" w:hAnsi="Times New Roman" w:cs="Times New Roman"/>
          <w:sz w:val="24"/>
          <w:szCs w:val="24"/>
          <w:lang w:val="lt-LT"/>
        </w:rPr>
        <w:t xml:space="preserve"> sveikatos centr</w:t>
      </w:r>
      <w:r w:rsidR="00E73058" w:rsidRPr="00AA1A95">
        <w:rPr>
          <w:rFonts w:ascii="Times New Roman" w:hAnsi="Times New Roman" w:cs="Times New Roman"/>
          <w:sz w:val="24"/>
          <w:szCs w:val="24"/>
          <w:lang w:val="lt-LT"/>
        </w:rPr>
        <w:t>ų</w:t>
      </w:r>
      <w:r w:rsidRPr="00AA1A95">
        <w:rPr>
          <w:rFonts w:ascii="Times New Roman" w:hAnsi="Times New Roman" w:cs="Times New Roman"/>
          <w:sz w:val="24"/>
          <w:szCs w:val="24"/>
          <w:lang w:val="lt-LT"/>
        </w:rPr>
        <w:t xml:space="preserve"> ir 15 struktūrinių, kurie bendradarbiauja su kitomis asmens sveikatos priežiūros įstaigomis. Atsižvelgiant į modelių įvairovę ir praktinius iššūkius, yra būtina parengti rekomendacijas (gaires) abiejų modelių veiklos organizavimui ir efektyvumui didinti, pacientų aptarnavimo kultūros standartą, užtikrinantį vienodą paslaugų kokybę visoje šalyje, teisės aktų tobulinimo vertinimus bei pasiūlymus, taip pat vizualizacijas ir santraukas, padedančias lengvai taikyti parengtus dokumentus praktikoje.</w:t>
      </w:r>
    </w:p>
    <w:p w14:paraId="4CB740F7" w14:textId="77777777" w:rsidR="0071013A" w:rsidRPr="00AA1A95" w:rsidRDefault="00937BC8" w:rsidP="000C2C9E">
      <w:pPr>
        <w:pStyle w:val="Antrat2"/>
        <w:spacing w:before="0" w:after="200" w:line="280" w:lineRule="atLeast"/>
        <w:rPr>
          <w:rFonts w:ascii="Times New Roman" w:hAnsi="Times New Roman" w:cs="Times New Roman"/>
          <w:color w:val="auto"/>
          <w:sz w:val="24"/>
          <w:szCs w:val="24"/>
          <w:lang w:val="lt-LT"/>
        </w:rPr>
      </w:pPr>
      <w:r w:rsidRPr="00AA1A95">
        <w:rPr>
          <w:rFonts w:ascii="Times New Roman" w:hAnsi="Times New Roman" w:cs="Times New Roman"/>
          <w:color w:val="auto"/>
          <w:sz w:val="24"/>
          <w:szCs w:val="24"/>
          <w:lang w:val="lt-LT"/>
        </w:rPr>
        <w:t>2. Pirkimo tikslas</w:t>
      </w:r>
    </w:p>
    <w:p w14:paraId="2D440F7C" w14:textId="6F280314" w:rsidR="0071013A" w:rsidRPr="00AA1A95" w:rsidRDefault="00937BC8" w:rsidP="000C2C9E">
      <w:pPr>
        <w:spacing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Parengti patikimą, aiškų ir praktikoje lengvai taikomą dokumentų paketą, skirtą</w:t>
      </w:r>
      <w:r w:rsidR="00333737" w:rsidRPr="00AA1A95">
        <w:rPr>
          <w:rFonts w:ascii="Times New Roman" w:hAnsi="Times New Roman" w:cs="Times New Roman"/>
          <w:sz w:val="24"/>
          <w:szCs w:val="24"/>
          <w:lang w:val="lt-LT"/>
        </w:rPr>
        <w:t xml:space="preserve"> </w:t>
      </w:r>
      <w:r w:rsidRPr="00AA1A95">
        <w:rPr>
          <w:rFonts w:ascii="Times New Roman" w:hAnsi="Times New Roman" w:cs="Times New Roman"/>
          <w:sz w:val="24"/>
          <w:szCs w:val="24"/>
          <w:lang w:val="lt-LT"/>
        </w:rPr>
        <w:t xml:space="preserve"> stiprinti sveikatos centrų veiklos efektyvumą ir koordinavimą;</w:t>
      </w:r>
      <w:r w:rsidR="00333737" w:rsidRPr="00AA1A95">
        <w:rPr>
          <w:rFonts w:ascii="Times New Roman" w:hAnsi="Times New Roman" w:cs="Times New Roman"/>
          <w:sz w:val="24"/>
          <w:szCs w:val="24"/>
          <w:lang w:val="lt-LT"/>
        </w:rPr>
        <w:t xml:space="preserve"> </w:t>
      </w:r>
      <w:r w:rsidRPr="00AA1A95">
        <w:rPr>
          <w:rFonts w:ascii="Times New Roman" w:hAnsi="Times New Roman" w:cs="Times New Roman"/>
          <w:sz w:val="24"/>
          <w:szCs w:val="24"/>
          <w:lang w:val="lt-LT"/>
        </w:rPr>
        <w:t xml:space="preserve">užtikrinti sklandų paciento kelią ir aptarnavimo kultūrą;- gerinti </w:t>
      </w:r>
      <w:r w:rsidRPr="00AA1A95">
        <w:rPr>
          <w:rFonts w:ascii="Times New Roman" w:hAnsi="Times New Roman" w:cs="Times New Roman"/>
          <w:sz w:val="24"/>
          <w:szCs w:val="24"/>
          <w:lang w:val="lt-LT"/>
        </w:rPr>
        <w:lastRenderedPageBreak/>
        <w:t>paslaugų prieinamumą; skatinti įstaigų bendradarbiavimą; pateikti rekomendacijas su vizualizacijomis, kurios palengvintų praktinį dokumentų taikymą.</w:t>
      </w:r>
    </w:p>
    <w:p w14:paraId="2712D407" w14:textId="77777777" w:rsidR="0071013A" w:rsidRPr="00AA1A95" w:rsidRDefault="00937BC8" w:rsidP="000C2C9E">
      <w:pPr>
        <w:pStyle w:val="Antrat2"/>
        <w:spacing w:before="0" w:after="200" w:line="280" w:lineRule="atLeast"/>
        <w:rPr>
          <w:rFonts w:ascii="Times New Roman" w:hAnsi="Times New Roman" w:cs="Times New Roman"/>
          <w:color w:val="auto"/>
          <w:sz w:val="24"/>
          <w:szCs w:val="24"/>
          <w:lang w:val="lt-LT"/>
        </w:rPr>
      </w:pPr>
      <w:r w:rsidRPr="00AA1A95">
        <w:rPr>
          <w:rFonts w:ascii="Times New Roman" w:hAnsi="Times New Roman" w:cs="Times New Roman"/>
          <w:color w:val="auto"/>
          <w:sz w:val="24"/>
          <w:szCs w:val="24"/>
          <w:lang w:val="lt-LT"/>
        </w:rPr>
        <w:t>3. Pirkimo objektas</w:t>
      </w:r>
    </w:p>
    <w:p w14:paraId="593B033A" w14:textId="77777777" w:rsidR="00333737" w:rsidRPr="00AA1A95" w:rsidRDefault="00937BC8" w:rsidP="000C2C9E">
      <w:pPr>
        <w:spacing w:line="280" w:lineRule="atLeast"/>
        <w:jc w:val="both"/>
        <w:rPr>
          <w:rFonts w:ascii="Times New Roman" w:hAnsi="Times New Roman" w:cs="Times New Roman"/>
          <w:b/>
          <w:bCs/>
          <w:sz w:val="24"/>
          <w:szCs w:val="24"/>
          <w:lang w:val="lt-LT"/>
        </w:rPr>
      </w:pPr>
      <w:r w:rsidRPr="00AA1A95">
        <w:rPr>
          <w:rFonts w:ascii="Times New Roman" w:hAnsi="Times New Roman" w:cs="Times New Roman"/>
          <w:b/>
          <w:bCs/>
          <w:sz w:val="24"/>
          <w:szCs w:val="24"/>
          <w:lang w:val="lt-LT"/>
        </w:rPr>
        <w:t>Sveikatos centrų veiklos dokumentų parengimas.</w:t>
      </w:r>
    </w:p>
    <w:p w14:paraId="3A82C116" w14:textId="77EA274C" w:rsidR="0080403F" w:rsidRPr="00AA1A95" w:rsidRDefault="0080403F" w:rsidP="0080403F">
      <w:pPr>
        <w:spacing w:after="120"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Sutartyje turi būti numatyta, kad prieš pradedant darbus tiekėjas ir Ministerija suderina išsamų darbų planą bei taikomą metodiką. Sutarties vykdymo metu turi būti organizuojami periodiniai susitikimai (ne rečiau kaip kas 2 mėnesius</w:t>
      </w:r>
      <w:r w:rsidR="00017D9B" w:rsidRPr="00AA1A95">
        <w:rPr>
          <w:rFonts w:ascii="Times New Roman" w:hAnsi="Times New Roman" w:cs="Times New Roman"/>
          <w:sz w:val="24"/>
          <w:szCs w:val="24"/>
          <w:lang w:val="lt-LT"/>
        </w:rPr>
        <w:t xml:space="preserve"> nuo sutarties pasirašymo</w:t>
      </w:r>
      <w:r w:rsidRPr="00AA1A95">
        <w:rPr>
          <w:rFonts w:ascii="Times New Roman" w:hAnsi="Times New Roman" w:cs="Times New Roman"/>
          <w:sz w:val="24"/>
          <w:szCs w:val="24"/>
          <w:lang w:val="lt-LT"/>
        </w:rPr>
        <w:t>, o Ministerijos pageidavimu – ir dažniau), kurių metu pristatomi ir aptariami tarpiniai rezultatai, siekiant užtikrinti nuoseklią darbų eigą ir kokybę.</w:t>
      </w:r>
    </w:p>
    <w:p w14:paraId="3B7B7202" w14:textId="03079BE2" w:rsidR="00590AE5" w:rsidRPr="00AA1A95" w:rsidRDefault="00937BC8" w:rsidP="007B70EC">
      <w:pPr>
        <w:spacing w:after="120"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 xml:space="preserve">Tiekėjas privalo visus dokumentus pateikti redaguojamu „Word“ formatu ir papildyti vizualiniais priedais (procesų schemomis, organizacinėmis diagramomis, </w:t>
      </w:r>
      <w:proofErr w:type="spellStart"/>
      <w:r w:rsidRPr="00AA1A95">
        <w:rPr>
          <w:rFonts w:ascii="Times New Roman" w:hAnsi="Times New Roman" w:cs="Times New Roman"/>
          <w:sz w:val="24"/>
          <w:szCs w:val="24"/>
          <w:lang w:val="lt-LT"/>
        </w:rPr>
        <w:t>infografikais</w:t>
      </w:r>
      <w:proofErr w:type="spellEnd"/>
      <w:r w:rsidRPr="00AA1A95">
        <w:rPr>
          <w:rFonts w:ascii="Times New Roman" w:hAnsi="Times New Roman" w:cs="Times New Roman"/>
          <w:sz w:val="24"/>
          <w:szCs w:val="24"/>
          <w:lang w:val="lt-LT"/>
        </w:rPr>
        <w:t xml:space="preserve">, PowerPoint pristatymais, interaktyviomis diagramomis ir kt.), kurie </w:t>
      </w:r>
      <w:r w:rsidR="002B6497" w:rsidRPr="00AA1A95">
        <w:rPr>
          <w:rFonts w:ascii="Times New Roman" w:hAnsi="Times New Roman" w:cs="Times New Roman"/>
          <w:sz w:val="24"/>
          <w:szCs w:val="24"/>
          <w:lang w:val="lt-LT"/>
        </w:rPr>
        <w:t xml:space="preserve">pagal </w:t>
      </w:r>
      <w:r w:rsidR="00815209" w:rsidRPr="00AA1A95">
        <w:rPr>
          <w:rFonts w:ascii="Times New Roman" w:hAnsi="Times New Roman" w:cs="Times New Roman"/>
          <w:sz w:val="24"/>
          <w:szCs w:val="24"/>
          <w:lang w:val="lt-LT"/>
        </w:rPr>
        <w:t>Ministerijos</w:t>
      </w:r>
      <w:r w:rsidR="002B6497" w:rsidRPr="00AA1A95">
        <w:rPr>
          <w:rFonts w:ascii="Times New Roman" w:hAnsi="Times New Roman" w:cs="Times New Roman"/>
          <w:sz w:val="24"/>
          <w:szCs w:val="24"/>
          <w:lang w:val="lt-LT"/>
        </w:rPr>
        <w:t xml:space="preserve"> pageidavimą </w:t>
      </w:r>
      <w:r w:rsidRPr="00AA1A95">
        <w:rPr>
          <w:rFonts w:ascii="Times New Roman" w:hAnsi="Times New Roman" w:cs="Times New Roman"/>
          <w:sz w:val="24"/>
          <w:szCs w:val="24"/>
          <w:lang w:val="lt-LT"/>
        </w:rPr>
        <w:t xml:space="preserve">būtų </w:t>
      </w:r>
      <w:r w:rsidR="00C258B1" w:rsidRPr="00AA1A95">
        <w:rPr>
          <w:rFonts w:ascii="Times New Roman" w:hAnsi="Times New Roman" w:cs="Times New Roman"/>
          <w:sz w:val="24"/>
          <w:szCs w:val="24"/>
          <w:lang w:val="lt-LT"/>
        </w:rPr>
        <w:t xml:space="preserve">pateikiami </w:t>
      </w:r>
      <w:r w:rsidRPr="00AA1A95">
        <w:rPr>
          <w:rFonts w:ascii="Times New Roman" w:hAnsi="Times New Roman" w:cs="Times New Roman"/>
          <w:sz w:val="24"/>
          <w:szCs w:val="24"/>
          <w:lang w:val="lt-LT"/>
        </w:rPr>
        <w:t>tinkam</w:t>
      </w:r>
      <w:r w:rsidR="00E612C0" w:rsidRPr="00AA1A95">
        <w:rPr>
          <w:rFonts w:ascii="Times New Roman" w:hAnsi="Times New Roman" w:cs="Times New Roman"/>
          <w:sz w:val="24"/>
          <w:szCs w:val="24"/>
          <w:lang w:val="lt-LT"/>
        </w:rPr>
        <w:t xml:space="preserve">ais </w:t>
      </w:r>
      <w:r w:rsidRPr="00AA1A95">
        <w:rPr>
          <w:rFonts w:ascii="Times New Roman" w:hAnsi="Times New Roman" w:cs="Times New Roman"/>
          <w:sz w:val="24"/>
          <w:szCs w:val="24"/>
          <w:lang w:val="lt-LT"/>
        </w:rPr>
        <w:t>naudoti elektronini</w:t>
      </w:r>
      <w:r w:rsidR="00E612C0" w:rsidRPr="00AA1A95">
        <w:rPr>
          <w:rFonts w:ascii="Times New Roman" w:hAnsi="Times New Roman" w:cs="Times New Roman"/>
          <w:sz w:val="24"/>
          <w:szCs w:val="24"/>
          <w:lang w:val="lt-LT"/>
        </w:rPr>
        <w:t>ais</w:t>
      </w:r>
      <w:r w:rsidRPr="00AA1A95">
        <w:rPr>
          <w:rFonts w:ascii="Times New Roman" w:hAnsi="Times New Roman" w:cs="Times New Roman"/>
          <w:sz w:val="24"/>
          <w:szCs w:val="24"/>
          <w:lang w:val="lt-LT"/>
        </w:rPr>
        <w:t xml:space="preserve"> format</w:t>
      </w:r>
      <w:r w:rsidR="00E612C0" w:rsidRPr="00AA1A95">
        <w:rPr>
          <w:rFonts w:ascii="Times New Roman" w:hAnsi="Times New Roman" w:cs="Times New Roman"/>
          <w:sz w:val="24"/>
          <w:szCs w:val="24"/>
          <w:lang w:val="lt-LT"/>
        </w:rPr>
        <w:t>ais</w:t>
      </w:r>
      <w:r w:rsidRPr="00AA1A95">
        <w:rPr>
          <w:rFonts w:ascii="Times New Roman" w:hAnsi="Times New Roman" w:cs="Times New Roman"/>
          <w:sz w:val="24"/>
          <w:szCs w:val="24"/>
          <w:lang w:val="lt-LT"/>
        </w:rPr>
        <w:t xml:space="preserve"> (PDF, PPTX, PNG, JPG) bei spausdinti, taip pat talpinti interneto svetainėse, vidinėse sistemose ir mokymų medžiagoje. Vizualinis turinys turi aiškiai ir suprantamai iliustruoti dokumentuose aprašytus procesus, užtikrinti jų pritaikomumą praktikoje ir būti sukurtas pagal pateiktus informacijos šaltinius.</w:t>
      </w:r>
      <w:r w:rsidR="00590AE5" w:rsidRPr="00AA1A95">
        <w:rPr>
          <w:rFonts w:ascii="Times New Roman" w:hAnsi="Times New Roman" w:cs="Times New Roman"/>
          <w:sz w:val="24"/>
          <w:szCs w:val="24"/>
          <w:lang w:val="lt-LT"/>
        </w:rPr>
        <w:t xml:space="preserve"> Dokumentuose teikėjas privalo nurodyti visus informacijos šaltinius, kuriais rėmėsi rengdamas vizualus ir tekstus, bei užtikrinti, kad nėra pažeidžiamos autorių teisės.</w:t>
      </w:r>
    </w:p>
    <w:p w14:paraId="4F05686F" w14:textId="04A3E386" w:rsidR="00616081" w:rsidRPr="00F77B99" w:rsidRDefault="00F77B99" w:rsidP="00F77B99">
      <w:pPr>
        <w:pStyle w:val="Antrat3"/>
        <w:spacing w:before="0" w:after="200" w:line="280" w:lineRule="atLeast"/>
        <w:jc w:val="both"/>
        <w:rPr>
          <w:rFonts w:ascii="Times New Roman" w:eastAsiaTheme="minorEastAsia" w:hAnsi="Times New Roman" w:cs="Times New Roman"/>
          <w:b w:val="0"/>
          <w:bCs w:val="0"/>
          <w:color w:val="EE0000"/>
          <w:sz w:val="24"/>
          <w:szCs w:val="24"/>
          <w:lang w:val="lt-LT"/>
        </w:rPr>
      </w:pPr>
      <w:r w:rsidRPr="00F77B99">
        <w:rPr>
          <w:rFonts w:ascii="Times New Roman" w:eastAsiaTheme="minorEastAsia" w:hAnsi="Times New Roman" w:cs="Times New Roman"/>
          <w:b w:val="0"/>
          <w:bCs w:val="0"/>
          <w:color w:val="EE0000"/>
          <w:sz w:val="24"/>
          <w:szCs w:val="24"/>
          <w:lang w:val="lt-LT"/>
        </w:rPr>
        <w:t>Tiekėjas turi įvertinti, kokių kompetencijų specialistai yra reikalingi šioje techninėje specifikacijoje nurodytų dokumentų parengimui. Projekto komandoje turi būti užtikrintas reikiamų sričių specialistų dalyvavimas – medicinos, sveikatos vadybos, komunikacijos ir paslaugų kokybės valdymo. Komandos sudėtis turi užtikrinti kokybišką dokumentų parengimą pagal techninėje specifikacijoje nustatytus reikalavimus.</w:t>
      </w:r>
    </w:p>
    <w:p w14:paraId="3AE6F955" w14:textId="146DAFFE" w:rsidR="0071013A" w:rsidRPr="00AA1A95" w:rsidRDefault="00937BC8" w:rsidP="000C2C9E">
      <w:pPr>
        <w:pStyle w:val="Antrat3"/>
        <w:spacing w:before="0" w:after="200" w:line="280" w:lineRule="atLeast"/>
        <w:rPr>
          <w:rFonts w:ascii="Times New Roman" w:hAnsi="Times New Roman" w:cs="Times New Roman"/>
          <w:color w:val="auto"/>
          <w:sz w:val="24"/>
          <w:szCs w:val="24"/>
          <w:lang w:val="lt-LT"/>
        </w:rPr>
      </w:pPr>
      <w:r w:rsidRPr="00AA1A95">
        <w:rPr>
          <w:rFonts w:ascii="Times New Roman" w:hAnsi="Times New Roman" w:cs="Times New Roman"/>
          <w:color w:val="auto"/>
          <w:sz w:val="24"/>
          <w:szCs w:val="24"/>
          <w:lang w:val="lt-LT"/>
        </w:rPr>
        <w:t>3.1. Sveikatos centrų veiklos organizavimo ir koordinavimo rekomendacijos</w:t>
      </w:r>
    </w:p>
    <w:p w14:paraId="48ECE749" w14:textId="27680BC0" w:rsidR="001B2E04" w:rsidRPr="00F77B99" w:rsidRDefault="001B2E04" w:rsidP="00F77B99">
      <w:pPr>
        <w:pStyle w:val="Antrat3"/>
        <w:spacing w:before="0" w:after="200" w:line="280" w:lineRule="atLeast"/>
        <w:jc w:val="both"/>
        <w:rPr>
          <w:rFonts w:ascii="Times New Roman" w:eastAsiaTheme="minorEastAsia" w:hAnsi="Times New Roman" w:cs="Times New Roman"/>
          <w:b w:val="0"/>
          <w:bCs w:val="0"/>
          <w:color w:val="EE0000"/>
          <w:sz w:val="24"/>
          <w:szCs w:val="24"/>
          <w:lang w:val="lt-LT"/>
        </w:rPr>
      </w:pPr>
      <w:r w:rsidRPr="00F77B99">
        <w:rPr>
          <w:rFonts w:ascii="Times New Roman" w:eastAsiaTheme="minorEastAsia" w:hAnsi="Times New Roman" w:cs="Times New Roman"/>
          <w:b w:val="0"/>
          <w:bCs w:val="0"/>
          <w:color w:val="EE0000"/>
          <w:sz w:val="24"/>
          <w:szCs w:val="24"/>
          <w:lang w:val="lt-LT"/>
        </w:rPr>
        <w:t>Rekomendacijos rengiamos remiantis esamos praktikos analize, į ją įtraukiant ne mažiau kaip 7 Sveikatos centrus, suderintus su Ministerija. Turi būti užtikrinta, kad analizei būtų atstovaujamos visos Sveikatos centrų grupės: funkciniai ir struktūriniai centrai, I–III savivaldybių grupės, bent vienas didmiesčio Sveikatos centras ir viena žiedinės savivaldybės įstaiga.</w:t>
      </w:r>
    </w:p>
    <w:p w14:paraId="4371A4CD" w14:textId="77777777" w:rsidR="001B2E04" w:rsidRPr="00F77B99" w:rsidRDefault="001B2E04" w:rsidP="00F77B99">
      <w:pPr>
        <w:pStyle w:val="Antrat3"/>
        <w:spacing w:before="0" w:after="200" w:line="280" w:lineRule="atLeast"/>
        <w:jc w:val="both"/>
        <w:rPr>
          <w:rFonts w:ascii="Times New Roman" w:eastAsiaTheme="minorEastAsia" w:hAnsi="Times New Roman" w:cs="Times New Roman"/>
          <w:b w:val="0"/>
          <w:bCs w:val="0"/>
          <w:color w:val="EE0000"/>
          <w:sz w:val="24"/>
          <w:szCs w:val="24"/>
          <w:lang w:val="lt-LT"/>
        </w:rPr>
      </w:pPr>
      <w:r w:rsidRPr="00F77B99">
        <w:rPr>
          <w:rFonts w:ascii="Times New Roman" w:eastAsiaTheme="minorEastAsia" w:hAnsi="Times New Roman" w:cs="Times New Roman"/>
          <w:b w:val="0"/>
          <w:bCs w:val="0"/>
          <w:color w:val="EE0000"/>
          <w:sz w:val="24"/>
          <w:szCs w:val="24"/>
          <w:lang w:val="lt-LT"/>
        </w:rPr>
        <w:t>Analizės metodus (apklausos, interviu, duomenų analizė ir pan.) tiekėjas gali pasirinkti savarankiškai, siekdamas užtikrinti kokybišką ir pagrįstą rezultatą.</w:t>
      </w:r>
    </w:p>
    <w:p w14:paraId="79CC18AC" w14:textId="77777777" w:rsidR="001B2E04" w:rsidRPr="00F77B99" w:rsidRDefault="001B2E04" w:rsidP="00F77B99">
      <w:pPr>
        <w:pStyle w:val="Antrat3"/>
        <w:spacing w:before="0" w:after="200" w:line="280" w:lineRule="atLeast"/>
        <w:jc w:val="both"/>
        <w:rPr>
          <w:rFonts w:ascii="Times New Roman" w:eastAsiaTheme="minorEastAsia" w:hAnsi="Times New Roman" w:cs="Times New Roman"/>
          <w:b w:val="0"/>
          <w:bCs w:val="0"/>
          <w:color w:val="EE0000"/>
          <w:sz w:val="24"/>
          <w:szCs w:val="24"/>
          <w:lang w:val="lt-LT"/>
        </w:rPr>
      </w:pPr>
      <w:r w:rsidRPr="00F77B99">
        <w:rPr>
          <w:rFonts w:ascii="Times New Roman" w:eastAsiaTheme="minorEastAsia" w:hAnsi="Times New Roman" w:cs="Times New Roman"/>
          <w:b w:val="0"/>
          <w:bCs w:val="0"/>
          <w:color w:val="EE0000"/>
          <w:sz w:val="24"/>
          <w:szCs w:val="24"/>
          <w:lang w:val="lt-LT"/>
        </w:rPr>
        <w:t>Tiekėjas privalo identifikuoti ir panaudoti gerosios praktikos pavyzdžius Lietuvoje. Užsienio šalių patirties analizė yra pageidautina, kai ji aktuali Sveikatos centrų modelio, taikomo Lietuvoje, kontekste.</w:t>
      </w:r>
    </w:p>
    <w:p w14:paraId="25DB7446" w14:textId="77777777" w:rsidR="001B2E04" w:rsidRPr="00F77B99" w:rsidRDefault="001B2E04" w:rsidP="00F77B99">
      <w:pPr>
        <w:pStyle w:val="Antrat3"/>
        <w:spacing w:before="0" w:after="200" w:line="280" w:lineRule="atLeast"/>
        <w:jc w:val="both"/>
        <w:rPr>
          <w:rFonts w:ascii="Times New Roman" w:eastAsiaTheme="minorEastAsia" w:hAnsi="Times New Roman" w:cs="Times New Roman"/>
          <w:b w:val="0"/>
          <w:bCs w:val="0"/>
          <w:color w:val="auto"/>
          <w:sz w:val="24"/>
          <w:szCs w:val="24"/>
          <w:lang w:val="lt-LT"/>
        </w:rPr>
      </w:pPr>
      <w:r w:rsidRPr="00F77B99">
        <w:rPr>
          <w:rFonts w:ascii="Times New Roman" w:eastAsiaTheme="minorEastAsia" w:hAnsi="Times New Roman" w:cs="Times New Roman"/>
          <w:b w:val="0"/>
          <w:bCs w:val="0"/>
          <w:color w:val="auto"/>
          <w:sz w:val="24"/>
          <w:szCs w:val="24"/>
          <w:lang w:val="lt-LT"/>
        </w:rPr>
        <w:t>Rekomendacijose turi būti pateikti šie aspektai:</w:t>
      </w:r>
    </w:p>
    <w:p w14:paraId="6F086995" w14:textId="5A7DBC96" w:rsidR="001B2E04" w:rsidRPr="00AA1A95" w:rsidRDefault="001B2E04" w:rsidP="00EF3C1F">
      <w:pPr>
        <w:pStyle w:val="Sraassunumeriais"/>
        <w:spacing w:line="280" w:lineRule="atLeast"/>
        <w:jc w:val="both"/>
        <w:rPr>
          <w:rFonts w:ascii="Times New Roman" w:hAnsi="Times New Roman" w:cs="Times New Roman"/>
          <w:b/>
          <w:bCs/>
          <w:sz w:val="24"/>
          <w:szCs w:val="24"/>
          <w:lang w:val="lt-LT"/>
        </w:rPr>
      </w:pPr>
      <w:r w:rsidRPr="00AA1A95">
        <w:rPr>
          <w:rFonts w:ascii="Times New Roman" w:hAnsi="Times New Roman" w:cs="Times New Roman"/>
          <w:b/>
          <w:bCs/>
          <w:sz w:val="24"/>
          <w:szCs w:val="24"/>
          <w:lang w:val="lt-LT"/>
        </w:rPr>
        <w:t>Sveikatos centro koordinatoriaus vaidmuo, funkcijos ir atsakomybės ribos.</w:t>
      </w:r>
    </w:p>
    <w:p w14:paraId="30C77643" w14:textId="77777777" w:rsidR="001B2E04" w:rsidRPr="00AA1A95" w:rsidRDefault="001B2E04" w:rsidP="00EF3C1F">
      <w:pPr>
        <w:pStyle w:val="Sraassunumeriais"/>
        <w:spacing w:line="280" w:lineRule="atLeast"/>
        <w:jc w:val="both"/>
        <w:rPr>
          <w:rFonts w:ascii="Times New Roman" w:hAnsi="Times New Roman" w:cs="Times New Roman"/>
          <w:b/>
          <w:bCs/>
          <w:sz w:val="24"/>
          <w:szCs w:val="24"/>
          <w:lang w:val="lt-LT"/>
        </w:rPr>
      </w:pPr>
      <w:r w:rsidRPr="00AA1A95">
        <w:rPr>
          <w:rFonts w:ascii="Times New Roman" w:hAnsi="Times New Roman" w:cs="Times New Roman"/>
          <w:b/>
          <w:bCs/>
          <w:sz w:val="24"/>
          <w:szCs w:val="24"/>
          <w:lang w:val="lt-LT"/>
        </w:rPr>
        <w:t>Koordinacinės grupės sudėtis, pagrindiniai veiklos principai ir sąveikos mechanizmai.</w:t>
      </w:r>
    </w:p>
    <w:p w14:paraId="6F10A900" w14:textId="77777777" w:rsidR="001B2E04" w:rsidRPr="00AA1A95" w:rsidRDefault="001B2E04" w:rsidP="00EF3C1F">
      <w:pPr>
        <w:pStyle w:val="Sraassunumeriais"/>
        <w:spacing w:line="280" w:lineRule="atLeast"/>
        <w:jc w:val="both"/>
        <w:rPr>
          <w:rFonts w:ascii="Times New Roman" w:hAnsi="Times New Roman" w:cs="Times New Roman"/>
          <w:b/>
          <w:bCs/>
          <w:sz w:val="24"/>
          <w:szCs w:val="24"/>
          <w:lang w:val="lt-LT"/>
        </w:rPr>
      </w:pPr>
      <w:r w:rsidRPr="00AA1A95">
        <w:rPr>
          <w:rFonts w:ascii="Times New Roman" w:hAnsi="Times New Roman" w:cs="Times New Roman"/>
          <w:b/>
          <w:bCs/>
          <w:sz w:val="24"/>
          <w:szCs w:val="24"/>
          <w:lang w:val="lt-LT"/>
        </w:rPr>
        <w:t>Veiklos efektyvumo stebėsenos ir vertinimo mechanizmai.</w:t>
      </w:r>
    </w:p>
    <w:p w14:paraId="5A678271" w14:textId="184C1FF4" w:rsidR="001E309E" w:rsidRPr="00877C86" w:rsidRDefault="001B2E04" w:rsidP="001B2E04">
      <w:pPr>
        <w:pStyle w:val="Sraassunumeriais"/>
        <w:spacing w:line="280" w:lineRule="atLeast"/>
        <w:jc w:val="both"/>
        <w:rPr>
          <w:rFonts w:ascii="Times New Roman" w:hAnsi="Times New Roman" w:cs="Times New Roman"/>
          <w:color w:val="EE0000"/>
          <w:sz w:val="24"/>
          <w:szCs w:val="24"/>
          <w:lang w:val="lt-LT"/>
        </w:rPr>
      </w:pPr>
      <w:r w:rsidRPr="00AA1A95">
        <w:rPr>
          <w:rFonts w:ascii="Times New Roman" w:hAnsi="Times New Roman" w:cs="Times New Roman"/>
          <w:b/>
          <w:bCs/>
          <w:sz w:val="24"/>
          <w:szCs w:val="24"/>
          <w:lang w:val="lt-LT"/>
        </w:rPr>
        <w:t>Pacientų srautų valdymo modeliai ir priemonės,</w:t>
      </w:r>
      <w:r w:rsidRPr="00AA1A95">
        <w:rPr>
          <w:rFonts w:ascii="Times New Roman" w:hAnsi="Times New Roman" w:cs="Times New Roman"/>
          <w:sz w:val="24"/>
          <w:szCs w:val="24"/>
          <w:lang w:val="lt-LT"/>
        </w:rPr>
        <w:t xml:space="preserve"> skirtos mažinti laukimo eiles bei sukurti sistemą, leidžiančią pirminės ambulatorinės asmens sveikatos priežiūros specialistams siųsti pacientus planinėms specializuotoms paslaugoms bei registruoti pagal nustatytą sveikatos būklės rizikos lygį (maža, vidutinė arba didelė rizika).</w:t>
      </w:r>
      <w:r w:rsidR="00720E93" w:rsidRPr="00AA1A95">
        <w:rPr>
          <w:rFonts w:ascii="Times New Roman" w:hAnsi="Times New Roman" w:cs="Times New Roman"/>
          <w:sz w:val="24"/>
          <w:szCs w:val="24"/>
          <w:lang w:val="lt-LT"/>
        </w:rPr>
        <w:t xml:space="preserve"> </w:t>
      </w:r>
      <w:r w:rsidRPr="00877C86">
        <w:rPr>
          <w:rFonts w:ascii="Times New Roman" w:hAnsi="Times New Roman" w:cs="Times New Roman"/>
          <w:color w:val="EE0000"/>
          <w:sz w:val="24"/>
          <w:szCs w:val="24"/>
          <w:lang w:val="lt-LT"/>
        </w:rPr>
        <w:t>Parengiant šiuos modelius, prioritetas teikiamas įgyvendinamų procesų parengimui, nurodant procesų žingsnius, atsakingus subjektus, IT sistemos reikalavimus ir galimus teisinius pakeitimus. Scheminis procesų vaizdavimas pateikiamas kaip papildoma vizualinė priemonė, iliustruojanti veikimo logiką.</w:t>
      </w:r>
      <w:r w:rsidR="00CB332D" w:rsidRPr="00877C86">
        <w:rPr>
          <w:rFonts w:ascii="Times New Roman" w:hAnsi="Times New Roman" w:cs="Times New Roman"/>
          <w:color w:val="EE0000"/>
          <w:sz w:val="24"/>
          <w:szCs w:val="24"/>
          <w:lang w:val="lt-LT"/>
        </w:rPr>
        <w:t xml:space="preserve"> </w:t>
      </w:r>
    </w:p>
    <w:p w14:paraId="733FFDE0" w14:textId="051C3700" w:rsidR="001B2E04" w:rsidRPr="00877C86" w:rsidRDefault="001E309E" w:rsidP="001E309E">
      <w:pPr>
        <w:pStyle w:val="Sraassunumeriais"/>
        <w:numPr>
          <w:ilvl w:val="0"/>
          <w:numId w:val="0"/>
        </w:numPr>
        <w:spacing w:line="280" w:lineRule="atLeast"/>
        <w:ind w:left="360"/>
        <w:jc w:val="both"/>
        <w:rPr>
          <w:rFonts w:ascii="Times New Roman" w:hAnsi="Times New Roman" w:cs="Times New Roman"/>
          <w:i/>
          <w:iCs/>
          <w:color w:val="EE0000"/>
          <w:sz w:val="24"/>
          <w:szCs w:val="24"/>
          <w:lang w:val="lt-LT"/>
        </w:rPr>
      </w:pPr>
      <w:r w:rsidRPr="00877C86">
        <w:rPr>
          <w:rFonts w:ascii="Times New Roman" w:hAnsi="Times New Roman" w:cs="Times New Roman"/>
          <w:i/>
          <w:iCs/>
          <w:color w:val="EE0000"/>
          <w:sz w:val="24"/>
          <w:szCs w:val="24"/>
          <w:lang w:val="lt-LT"/>
        </w:rPr>
        <w:lastRenderedPageBreak/>
        <w:t xml:space="preserve">Šis </w:t>
      </w:r>
      <w:r w:rsidR="00CB332D" w:rsidRPr="00877C86">
        <w:rPr>
          <w:rFonts w:ascii="Times New Roman" w:hAnsi="Times New Roman" w:cs="Times New Roman"/>
          <w:i/>
          <w:iCs/>
          <w:color w:val="EE0000"/>
          <w:sz w:val="24"/>
          <w:szCs w:val="24"/>
          <w:lang w:val="lt-LT"/>
        </w:rPr>
        <w:t>punktas apima praktinį procesų ir modelių įgyvendinimo lygmenį (paciento srautų valdymo modeliavimą</w:t>
      </w:r>
      <w:r w:rsidR="00CB332D" w:rsidRPr="00877C86">
        <w:rPr>
          <w:rFonts w:ascii="Times New Roman" w:hAnsi="Times New Roman" w:cs="Times New Roman"/>
          <w:color w:val="EE0000"/>
          <w:sz w:val="24"/>
          <w:szCs w:val="24"/>
          <w:lang w:val="lt-LT"/>
        </w:rPr>
        <w:t>),</w:t>
      </w:r>
      <w:r w:rsidR="00CB332D" w:rsidRPr="00877C86">
        <w:rPr>
          <w:rFonts w:ascii="Times New Roman" w:hAnsi="Times New Roman" w:cs="Times New Roman"/>
          <w:i/>
          <w:iCs/>
          <w:color w:val="EE0000"/>
          <w:sz w:val="24"/>
          <w:szCs w:val="24"/>
          <w:lang w:val="lt-LT"/>
        </w:rPr>
        <w:t>)</w:t>
      </w:r>
      <w:r w:rsidRPr="00877C86">
        <w:rPr>
          <w:rFonts w:ascii="Times New Roman" w:hAnsi="Times New Roman" w:cs="Times New Roman"/>
          <w:i/>
          <w:iCs/>
          <w:color w:val="EE0000"/>
          <w:sz w:val="24"/>
          <w:szCs w:val="24"/>
          <w:lang w:val="lt-LT"/>
        </w:rPr>
        <w:t>.</w:t>
      </w:r>
    </w:p>
    <w:p w14:paraId="78FB722F" w14:textId="77777777" w:rsidR="001B2E04" w:rsidRPr="00AA1A95" w:rsidRDefault="001B2E04" w:rsidP="00EF3C1F">
      <w:pPr>
        <w:pStyle w:val="Sraassunumeriais"/>
        <w:spacing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w:t>
      </w:r>
      <w:r w:rsidRPr="00AA1A95">
        <w:rPr>
          <w:rFonts w:ascii="Times New Roman" w:hAnsi="Times New Roman" w:cs="Times New Roman"/>
          <w:b/>
          <w:bCs/>
          <w:sz w:val="24"/>
          <w:szCs w:val="24"/>
          <w:lang w:val="lt-LT"/>
        </w:rPr>
        <w:t>Vieno langelio“ principo taikymo gairės.</w:t>
      </w:r>
    </w:p>
    <w:p w14:paraId="16679B45" w14:textId="21397CF3" w:rsidR="001B2E04" w:rsidRPr="00877C86" w:rsidRDefault="001B2E04" w:rsidP="00EF3C1F">
      <w:pPr>
        <w:pStyle w:val="Sraassunumeriais"/>
        <w:spacing w:line="280" w:lineRule="atLeast"/>
        <w:jc w:val="both"/>
        <w:rPr>
          <w:rFonts w:ascii="Times New Roman" w:hAnsi="Times New Roman" w:cs="Times New Roman"/>
          <w:color w:val="EE0000"/>
          <w:sz w:val="24"/>
          <w:szCs w:val="24"/>
          <w:lang w:val="lt-LT"/>
        </w:rPr>
      </w:pPr>
      <w:r w:rsidRPr="00AA1A95">
        <w:rPr>
          <w:rFonts w:ascii="Times New Roman" w:hAnsi="Times New Roman" w:cs="Times New Roman"/>
          <w:b/>
          <w:bCs/>
          <w:sz w:val="24"/>
          <w:szCs w:val="24"/>
          <w:lang w:val="lt-LT"/>
        </w:rPr>
        <w:t>Vizualinės priemonės</w:t>
      </w:r>
      <w:r w:rsidRPr="00AA1A95">
        <w:rPr>
          <w:rFonts w:ascii="Times New Roman" w:hAnsi="Times New Roman" w:cs="Times New Roman"/>
          <w:sz w:val="24"/>
          <w:szCs w:val="24"/>
          <w:lang w:val="lt-LT"/>
        </w:rPr>
        <w:t xml:space="preserve"> – procesų schemos, organizacinės struktūros, </w:t>
      </w:r>
      <w:proofErr w:type="spellStart"/>
      <w:r w:rsidRPr="00AA1A95">
        <w:rPr>
          <w:rFonts w:ascii="Times New Roman" w:hAnsi="Times New Roman" w:cs="Times New Roman"/>
          <w:sz w:val="24"/>
          <w:szCs w:val="24"/>
          <w:lang w:val="lt-LT"/>
        </w:rPr>
        <w:t>infografikai</w:t>
      </w:r>
      <w:proofErr w:type="spellEnd"/>
      <w:r w:rsidRPr="00AA1A95">
        <w:rPr>
          <w:rFonts w:ascii="Times New Roman" w:hAnsi="Times New Roman" w:cs="Times New Roman"/>
          <w:sz w:val="24"/>
          <w:szCs w:val="24"/>
          <w:lang w:val="lt-LT"/>
        </w:rPr>
        <w:t xml:space="preserve">, pacientų srautų valdymo algoritmai, PowerPoint pristatymai ir, jei įmanoma, interaktyvios diagramos. </w:t>
      </w:r>
      <w:r w:rsidRPr="00877C86">
        <w:rPr>
          <w:rFonts w:ascii="Times New Roman" w:hAnsi="Times New Roman" w:cs="Times New Roman"/>
          <w:color w:val="EE0000"/>
          <w:sz w:val="24"/>
          <w:szCs w:val="24"/>
          <w:lang w:val="lt-LT"/>
        </w:rPr>
        <w:t>Procesų schemoms rekomenduojama taikyti BPMN (</w:t>
      </w:r>
      <w:proofErr w:type="spellStart"/>
      <w:r w:rsidRPr="00877C86">
        <w:rPr>
          <w:rFonts w:ascii="Times New Roman" w:hAnsi="Times New Roman" w:cs="Times New Roman"/>
          <w:color w:val="EE0000"/>
          <w:sz w:val="24"/>
          <w:szCs w:val="24"/>
          <w:lang w:val="lt-LT"/>
        </w:rPr>
        <w:t>Business</w:t>
      </w:r>
      <w:proofErr w:type="spellEnd"/>
      <w:r w:rsidRPr="00877C86">
        <w:rPr>
          <w:rFonts w:ascii="Times New Roman" w:hAnsi="Times New Roman" w:cs="Times New Roman"/>
          <w:color w:val="EE0000"/>
          <w:sz w:val="24"/>
          <w:szCs w:val="24"/>
          <w:lang w:val="lt-LT"/>
        </w:rPr>
        <w:t xml:space="preserve"> </w:t>
      </w:r>
      <w:proofErr w:type="spellStart"/>
      <w:r w:rsidRPr="00877C86">
        <w:rPr>
          <w:rFonts w:ascii="Times New Roman" w:hAnsi="Times New Roman" w:cs="Times New Roman"/>
          <w:color w:val="EE0000"/>
          <w:sz w:val="24"/>
          <w:szCs w:val="24"/>
          <w:lang w:val="lt-LT"/>
        </w:rPr>
        <w:t>Process</w:t>
      </w:r>
      <w:proofErr w:type="spellEnd"/>
      <w:r w:rsidRPr="00877C86">
        <w:rPr>
          <w:rFonts w:ascii="Times New Roman" w:hAnsi="Times New Roman" w:cs="Times New Roman"/>
          <w:color w:val="EE0000"/>
          <w:sz w:val="24"/>
          <w:szCs w:val="24"/>
          <w:lang w:val="lt-LT"/>
        </w:rPr>
        <w:t xml:space="preserve"> </w:t>
      </w:r>
      <w:proofErr w:type="spellStart"/>
      <w:r w:rsidRPr="00877C86">
        <w:rPr>
          <w:rFonts w:ascii="Times New Roman" w:hAnsi="Times New Roman" w:cs="Times New Roman"/>
          <w:color w:val="EE0000"/>
          <w:sz w:val="24"/>
          <w:szCs w:val="24"/>
          <w:lang w:val="lt-LT"/>
        </w:rPr>
        <w:t>Model</w:t>
      </w:r>
      <w:proofErr w:type="spellEnd"/>
      <w:r w:rsidRPr="00877C86">
        <w:rPr>
          <w:rFonts w:ascii="Times New Roman" w:hAnsi="Times New Roman" w:cs="Times New Roman"/>
          <w:color w:val="EE0000"/>
          <w:sz w:val="24"/>
          <w:szCs w:val="24"/>
          <w:lang w:val="lt-LT"/>
        </w:rPr>
        <w:t xml:space="preserve"> </w:t>
      </w:r>
      <w:proofErr w:type="spellStart"/>
      <w:r w:rsidRPr="00877C86">
        <w:rPr>
          <w:rFonts w:ascii="Times New Roman" w:hAnsi="Times New Roman" w:cs="Times New Roman"/>
          <w:color w:val="EE0000"/>
          <w:sz w:val="24"/>
          <w:szCs w:val="24"/>
          <w:lang w:val="lt-LT"/>
        </w:rPr>
        <w:t>and</w:t>
      </w:r>
      <w:proofErr w:type="spellEnd"/>
      <w:r w:rsidRPr="00877C86">
        <w:rPr>
          <w:rFonts w:ascii="Times New Roman" w:hAnsi="Times New Roman" w:cs="Times New Roman"/>
          <w:color w:val="EE0000"/>
          <w:sz w:val="24"/>
          <w:szCs w:val="24"/>
          <w:lang w:val="lt-LT"/>
        </w:rPr>
        <w:t xml:space="preserve"> </w:t>
      </w:r>
      <w:proofErr w:type="spellStart"/>
      <w:r w:rsidRPr="00877C86">
        <w:rPr>
          <w:rFonts w:ascii="Times New Roman" w:hAnsi="Times New Roman" w:cs="Times New Roman"/>
          <w:color w:val="EE0000"/>
          <w:sz w:val="24"/>
          <w:szCs w:val="24"/>
          <w:lang w:val="lt-LT"/>
        </w:rPr>
        <w:t>Notation</w:t>
      </w:r>
      <w:proofErr w:type="spellEnd"/>
      <w:r w:rsidRPr="00877C86">
        <w:rPr>
          <w:rFonts w:ascii="Times New Roman" w:hAnsi="Times New Roman" w:cs="Times New Roman"/>
          <w:color w:val="EE0000"/>
          <w:sz w:val="24"/>
          <w:szCs w:val="24"/>
          <w:lang w:val="lt-LT"/>
        </w:rPr>
        <w:t>) arba kitus tarptautiniu mastu pripažintus procesų modeliavimo standartus.</w:t>
      </w:r>
    </w:p>
    <w:p w14:paraId="389FA4B7" w14:textId="77777777" w:rsidR="0071013A" w:rsidRPr="00AA1A95" w:rsidRDefault="00937BC8" w:rsidP="000C2C9E">
      <w:pPr>
        <w:pStyle w:val="Antrat3"/>
        <w:spacing w:before="0" w:after="200" w:line="280" w:lineRule="atLeast"/>
        <w:rPr>
          <w:rFonts w:ascii="Times New Roman" w:hAnsi="Times New Roman" w:cs="Times New Roman"/>
          <w:color w:val="auto"/>
          <w:sz w:val="24"/>
          <w:szCs w:val="24"/>
          <w:lang w:val="lt-LT"/>
        </w:rPr>
      </w:pPr>
      <w:r w:rsidRPr="00AA1A95">
        <w:rPr>
          <w:rFonts w:ascii="Times New Roman" w:hAnsi="Times New Roman" w:cs="Times New Roman"/>
          <w:color w:val="auto"/>
          <w:sz w:val="24"/>
          <w:szCs w:val="24"/>
          <w:lang w:val="lt-LT"/>
        </w:rPr>
        <w:t>3.2. Paciento kelio ir aptarnavimo kultūros standartas</w:t>
      </w:r>
    </w:p>
    <w:p w14:paraId="770E7B4C" w14:textId="3BF9764B" w:rsidR="00BA0AE2" w:rsidRPr="00877C86" w:rsidRDefault="00BA0AE2" w:rsidP="00BA0AE2">
      <w:pPr>
        <w:pStyle w:val="Sraassunumeriais"/>
        <w:spacing w:line="280" w:lineRule="atLeast"/>
        <w:jc w:val="both"/>
        <w:rPr>
          <w:rFonts w:ascii="Times New Roman" w:hAnsi="Times New Roman" w:cs="Times New Roman"/>
          <w:color w:val="EE0000"/>
          <w:sz w:val="24"/>
          <w:szCs w:val="24"/>
          <w:lang w:val="lt-LT"/>
        </w:rPr>
      </w:pPr>
      <w:r w:rsidRPr="00AA1A95">
        <w:rPr>
          <w:rFonts w:ascii="Times New Roman" w:hAnsi="Times New Roman" w:cs="Times New Roman"/>
          <w:b/>
          <w:bCs/>
          <w:sz w:val="24"/>
          <w:szCs w:val="24"/>
          <w:lang w:val="lt-LT"/>
        </w:rPr>
        <w:t>Aiškiai apibrėžtas paciento kelias sveikatos sistemoje</w:t>
      </w:r>
      <w:r w:rsidRPr="00AA1A95">
        <w:rPr>
          <w:rFonts w:ascii="Times New Roman" w:hAnsi="Times New Roman" w:cs="Times New Roman"/>
          <w:sz w:val="24"/>
          <w:szCs w:val="24"/>
          <w:lang w:val="lt-LT"/>
        </w:rPr>
        <w:t xml:space="preserve"> – nuo pirmojo kontakto iki paslaugos suteikimo, įskaitant visus tarpinio aptarnavimo etapus. </w:t>
      </w:r>
      <w:r w:rsidRPr="00877C86">
        <w:rPr>
          <w:rFonts w:ascii="Times New Roman" w:hAnsi="Times New Roman" w:cs="Times New Roman"/>
          <w:color w:val="EE0000"/>
          <w:sz w:val="24"/>
          <w:szCs w:val="24"/>
          <w:lang w:val="lt-LT"/>
        </w:rPr>
        <w:t>Paciento kelias turi būti parengtas remiantis faktinių duomenų analize, interviu ir apklausomis, siekiant užtikrinti pagrįstus ir praktiškai taikytinus rezultatus</w:t>
      </w:r>
      <w:r w:rsidR="00191318" w:rsidRPr="00877C86">
        <w:rPr>
          <w:rFonts w:ascii="Times New Roman" w:hAnsi="Times New Roman" w:cs="Times New Roman"/>
          <w:color w:val="EE0000"/>
          <w:sz w:val="24"/>
          <w:szCs w:val="24"/>
          <w:lang w:val="lt-LT"/>
        </w:rPr>
        <w:t xml:space="preserve"> </w:t>
      </w:r>
      <w:r w:rsidRPr="00877C86">
        <w:rPr>
          <w:rFonts w:ascii="Times New Roman" w:hAnsi="Times New Roman" w:cs="Times New Roman"/>
          <w:color w:val="EE0000"/>
          <w:sz w:val="24"/>
          <w:szCs w:val="24"/>
          <w:lang w:val="lt-LT"/>
        </w:rPr>
        <w:t>Į analizę ir apklausas turi būti įtraukti ne mažiau kaip 7 Sveikatos centrai, suderinti su Ministerija</w:t>
      </w:r>
      <w:r w:rsidR="00127C89" w:rsidRPr="00877C86">
        <w:rPr>
          <w:rFonts w:ascii="Times New Roman" w:hAnsi="Times New Roman" w:cs="Times New Roman"/>
          <w:color w:val="EE0000"/>
          <w:sz w:val="24"/>
          <w:szCs w:val="24"/>
          <w:lang w:val="lt-LT"/>
        </w:rPr>
        <w:t>,</w:t>
      </w:r>
      <w:r w:rsidRPr="00877C86">
        <w:rPr>
          <w:rFonts w:ascii="Times New Roman" w:hAnsi="Times New Roman" w:cs="Times New Roman"/>
          <w:color w:val="EE0000"/>
          <w:sz w:val="24"/>
          <w:szCs w:val="24"/>
          <w:lang w:val="lt-LT"/>
        </w:rPr>
        <w:t xml:space="preserve"> užtikrinant, kad būtų atstovaujamos visos Sveikatos centrų grupės: funkciniai ir struktūriniai centrai, I–III grupių savivaldybės, bent vienas didmiesčio ir viena žiedinės savivaldybės įstaiga.</w:t>
      </w:r>
    </w:p>
    <w:p w14:paraId="019CFC0A" w14:textId="2D7C2111" w:rsidR="00BA0AE2" w:rsidRPr="00EA7253" w:rsidRDefault="00BA0AE2" w:rsidP="0032349A">
      <w:pPr>
        <w:pStyle w:val="Sraassunumeriais"/>
        <w:spacing w:line="280" w:lineRule="atLeast"/>
        <w:jc w:val="both"/>
        <w:rPr>
          <w:rFonts w:ascii="Times New Roman" w:hAnsi="Times New Roman" w:cs="Times New Roman"/>
          <w:color w:val="EE0000"/>
          <w:sz w:val="24"/>
          <w:szCs w:val="24"/>
          <w:lang w:val="lt-LT"/>
        </w:rPr>
      </w:pPr>
      <w:r w:rsidRPr="00AA1A95">
        <w:rPr>
          <w:rFonts w:ascii="Times New Roman" w:hAnsi="Times New Roman" w:cs="Times New Roman"/>
          <w:b/>
          <w:bCs/>
          <w:sz w:val="24"/>
          <w:szCs w:val="24"/>
          <w:lang w:val="lt-LT"/>
        </w:rPr>
        <w:t>Veiksmų algoritmai, užtikrinantys vienodą paslaugų teikimo tvarką</w:t>
      </w:r>
      <w:r w:rsidRPr="00AA1A95">
        <w:rPr>
          <w:rFonts w:ascii="Times New Roman" w:hAnsi="Times New Roman" w:cs="Times New Roman"/>
          <w:sz w:val="24"/>
          <w:szCs w:val="24"/>
          <w:lang w:val="lt-LT"/>
        </w:rPr>
        <w:t>.</w:t>
      </w:r>
      <w:r w:rsidR="00F0485B" w:rsidRPr="00AA1A95">
        <w:rPr>
          <w:rFonts w:ascii="Times New Roman" w:hAnsi="Times New Roman" w:cs="Times New Roman"/>
          <w:sz w:val="24"/>
          <w:szCs w:val="24"/>
          <w:lang w:val="lt-LT"/>
        </w:rPr>
        <w:t xml:space="preserve"> </w:t>
      </w:r>
      <w:r w:rsidRPr="00EA7253">
        <w:rPr>
          <w:rFonts w:ascii="Times New Roman" w:hAnsi="Times New Roman" w:cs="Times New Roman"/>
          <w:color w:val="EE0000"/>
          <w:sz w:val="24"/>
          <w:szCs w:val="24"/>
          <w:lang w:val="lt-LT"/>
        </w:rPr>
        <w:t>Algoritmai turi būti parengti kaip praktiniai įrankiai darbuotojams – žingsnis po žingsnio procesų schemos su nurodytais atsakingais asmenimis, užtikrinančios jų taikymą praktikoje.</w:t>
      </w:r>
      <w:r w:rsidR="00F0485B" w:rsidRPr="00EA7253">
        <w:rPr>
          <w:rFonts w:ascii="Times New Roman" w:hAnsi="Times New Roman" w:cs="Times New Roman"/>
          <w:color w:val="EE0000"/>
          <w:sz w:val="24"/>
          <w:szCs w:val="24"/>
          <w:lang w:val="lt-LT"/>
        </w:rPr>
        <w:t xml:space="preserve"> </w:t>
      </w:r>
      <w:r w:rsidRPr="00EA7253">
        <w:rPr>
          <w:rFonts w:ascii="Times New Roman" w:hAnsi="Times New Roman" w:cs="Times New Roman"/>
          <w:color w:val="EE0000"/>
          <w:sz w:val="24"/>
          <w:szCs w:val="24"/>
          <w:lang w:val="lt-LT"/>
        </w:rPr>
        <w:t>Parengti algoritmai turi būti suderinami su galimybe juos integruoti į e. sveikatos ar pacientų registracijos sistemas, tačiau jų faktinė integracija nėra šio pirkimo objektas.</w:t>
      </w:r>
    </w:p>
    <w:p w14:paraId="7E7DAE9F" w14:textId="32C1C072" w:rsidR="00BA0AE2" w:rsidRPr="00EA7253" w:rsidRDefault="00BA0AE2" w:rsidP="009C4703">
      <w:pPr>
        <w:pStyle w:val="Sraassunumeriais"/>
        <w:spacing w:line="280" w:lineRule="atLeast"/>
        <w:jc w:val="both"/>
        <w:rPr>
          <w:rFonts w:ascii="Times New Roman" w:hAnsi="Times New Roman" w:cs="Times New Roman"/>
          <w:color w:val="EE0000"/>
          <w:sz w:val="24"/>
          <w:szCs w:val="24"/>
          <w:lang w:val="lt-LT"/>
        </w:rPr>
      </w:pPr>
      <w:r w:rsidRPr="00AA1A95">
        <w:rPr>
          <w:rFonts w:ascii="Times New Roman" w:hAnsi="Times New Roman" w:cs="Times New Roman"/>
          <w:b/>
          <w:bCs/>
          <w:sz w:val="24"/>
          <w:szCs w:val="24"/>
          <w:lang w:val="lt-LT"/>
        </w:rPr>
        <w:t>Etikos ir komunikacijos standartai, taikomi visam personalui</w:t>
      </w:r>
      <w:r w:rsidRPr="00EA7253">
        <w:rPr>
          <w:rFonts w:ascii="Times New Roman" w:hAnsi="Times New Roman" w:cs="Times New Roman"/>
          <w:color w:val="EE0000"/>
          <w:sz w:val="24"/>
          <w:szCs w:val="24"/>
          <w:lang w:val="lt-LT"/>
        </w:rPr>
        <w:t>.</w:t>
      </w:r>
      <w:r w:rsidR="00F0485B" w:rsidRPr="00EA7253">
        <w:rPr>
          <w:rFonts w:ascii="Times New Roman" w:hAnsi="Times New Roman" w:cs="Times New Roman"/>
          <w:color w:val="EE0000"/>
          <w:sz w:val="24"/>
          <w:szCs w:val="24"/>
          <w:lang w:val="lt-LT"/>
        </w:rPr>
        <w:t xml:space="preserve"> </w:t>
      </w:r>
      <w:r w:rsidRPr="00EA7253">
        <w:rPr>
          <w:rFonts w:ascii="Times New Roman" w:hAnsi="Times New Roman" w:cs="Times New Roman"/>
          <w:color w:val="EE0000"/>
          <w:sz w:val="24"/>
          <w:szCs w:val="24"/>
          <w:lang w:val="lt-LT"/>
        </w:rPr>
        <w:t>Etikos standartai turi būti parengti remiantis galiojančiais Lietuvos teisės aktais ir profesiniais kodeksais, juos papildant tarptautiniais pavyzdžiais bei Pasaulio sveikatos organizacijos (PSO) rekomendacijomis.</w:t>
      </w:r>
    </w:p>
    <w:p w14:paraId="36A1034C" w14:textId="531EC17D" w:rsidR="00BA0AE2" w:rsidRPr="00A11153" w:rsidRDefault="00BA0AE2" w:rsidP="009C4703">
      <w:pPr>
        <w:pStyle w:val="Sraassunumeriais"/>
        <w:spacing w:line="280" w:lineRule="atLeast"/>
        <w:jc w:val="both"/>
        <w:rPr>
          <w:rFonts w:ascii="Times New Roman" w:hAnsi="Times New Roman" w:cs="Times New Roman"/>
          <w:color w:val="EE0000"/>
          <w:sz w:val="24"/>
          <w:szCs w:val="24"/>
          <w:lang w:val="lt-LT"/>
        </w:rPr>
      </w:pPr>
      <w:r w:rsidRPr="00AA1A95">
        <w:rPr>
          <w:rFonts w:ascii="Times New Roman" w:hAnsi="Times New Roman" w:cs="Times New Roman"/>
          <w:b/>
          <w:bCs/>
          <w:sz w:val="24"/>
          <w:szCs w:val="24"/>
          <w:lang w:val="lt-LT"/>
        </w:rPr>
        <w:t>Konfliktų sprendimo principai ir įvaizdžio formavimo gairės</w:t>
      </w:r>
      <w:r w:rsidRPr="00AA1A95">
        <w:rPr>
          <w:rFonts w:ascii="Times New Roman" w:hAnsi="Times New Roman" w:cs="Times New Roman"/>
          <w:sz w:val="24"/>
          <w:szCs w:val="24"/>
          <w:lang w:val="lt-LT"/>
        </w:rPr>
        <w:t>, padedančios išvengti konfliktinių situacijų ir užtikrinti teigiamą sveikatos centro reputaciją.</w:t>
      </w:r>
      <w:r w:rsidR="00AA2A89" w:rsidRPr="00AA1A95">
        <w:rPr>
          <w:rFonts w:ascii="Times New Roman" w:hAnsi="Times New Roman" w:cs="Times New Roman"/>
          <w:sz w:val="24"/>
          <w:szCs w:val="24"/>
          <w:lang w:val="lt-LT"/>
        </w:rPr>
        <w:t xml:space="preserve"> </w:t>
      </w:r>
      <w:r w:rsidRPr="00A11153">
        <w:rPr>
          <w:rFonts w:ascii="Times New Roman" w:hAnsi="Times New Roman" w:cs="Times New Roman"/>
          <w:color w:val="EE0000"/>
          <w:sz w:val="24"/>
          <w:szCs w:val="24"/>
          <w:lang w:val="lt-LT"/>
        </w:rPr>
        <w:t>Tiekėjas privalo parengti išsamias metodikas ir praktinius įrankius – klausimynus, vertinimo skalės pavyzdžius, apklausų šablonus bei stebėsenos rodiklių sistemą.</w:t>
      </w:r>
    </w:p>
    <w:p w14:paraId="5A085173" w14:textId="77777777" w:rsidR="00BA0AE2" w:rsidRPr="00AA1A95" w:rsidRDefault="00BA0AE2" w:rsidP="009C4703">
      <w:pPr>
        <w:pStyle w:val="Sraassunumeriais"/>
        <w:spacing w:line="280" w:lineRule="atLeast"/>
        <w:jc w:val="both"/>
        <w:rPr>
          <w:rFonts w:ascii="Times New Roman" w:hAnsi="Times New Roman" w:cs="Times New Roman"/>
          <w:sz w:val="24"/>
          <w:szCs w:val="24"/>
          <w:lang w:val="lt-LT"/>
        </w:rPr>
      </w:pPr>
      <w:r w:rsidRPr="00AA1A95">
        <w:rPr>
          <w:rFonts w:ascii="Times New Roman" w:hAnsi="Times New Roman" w:cs="Times New Roman"/>
          <w:b/>
          <w:bCs/>
          <w:sz w:val="24"/>
          <w:szCs w:val="24"/>
          <w:lang w:val="lt-LT"/>
        </w:rPr>
        <w:t>Aptarnavimo pažangos stebėsenos priemonės</w:t>
      </w:r>
      <w:r w:rsidRPr="00AA1A95">
        <w:rPr>
          <w:rFonts w:ascii="Times New Roman" w:hAnsi="Times New Roman" w:cs="Times New Roman"/>
          <w:sz w:val="24"/>
          <w:szCs w:val="24"/>
          <w:lang w:val="lt-LT"/>
        </w:rPr>
        <w:t xml:space="preserve"> – pacientų pasitenkinimo, aptarnavimo kokybės ir darbuotojų elgesio vertinimo mechanizmai, leidžiantys sistemingai stebėti ir gerinti paslaugų kokybę bei aptarnavimo kultūrą.</w:t>
      </w:r>
    </w:p>
    <w:p w14:paraId="0C2996A0" w14:textId="77777777" w:rsidR="00BA0AE2" w:rsidRPr="00AA1A95" w:rsidRDefault="00BA0AE2" w:rsidP="009C4703">
      <w:pPr>
        <w:pStyle w:val="Sraassunumeriais"/>
        <w:spacing w:line="280" w:lineRule="atLeast"/>
        <w:jc w:val="both"/>
        <w:rPr>
          <w:rFonts w:ascii="Times New Roman" w:hAnsi="Times New Roman" w:cs="Times New Roman"/>
          <w:sz w:val="24"/>
          <w:szCs w:val="24"/>
          <w:lang w:val="lt-LT"/>
        </w:rPr>
      </w:pPr>
      <w:r w:rsidRPr="00AA1A95">
        <w:rPr>
          <w:rFonts w:ascii="Times New Roman" w:hAnsi="Times New Roman" w:cs="Times New Roman"/>
          <w:b/>
          <w:bCs/>
          <w:sz w:val="24"/>
          <w:szCs w:val="24"/>
          <w:lang w:val="lt-LT"/>
        </w:rPr>
        <w:t>Paciento kelio schema (</w:t>
      </w:r>
      <w:proofErr w:type="spellStart"/>
      <w:r w:rsidRPr="00AA1A95">
        <w:rPr>
          <w:rFonts w:ascii="Times New Roman" w:hAnsi="Times New Roman" w:cs="Times New Roman"/>
          <w:b/>
          <w:bCs/>
          <w:sz w:val="24"/>
          <w:szCs w:val="24"/>
          <w:lang w:val="lt-LT"/>
        </w:rPr>
        <w:t>vizualas</w:t>
      </w:r>
      <w:proofErr w:type="spellEnd"/>
      <w:r w:rsidRPr="00AA1A95">
        <w:rPr>
          <w:rFonts w:ascii="Times New Roman" w:hAnsi="Times New Roman" w:cs="Times New Roman"/>
          <w:sz w:val="24"/>
          <w:szCs w:val="24"/>
          <w:lang w:val="lt-LT"/>
        </w:rPr>
        <w:t>) – vizualinė diagrama, skirta Sveikatos centrų darbuotojams, aiškiai iliustruojanti paciento kelią, atsakingus asmenis ir sąveikos taškus kiekviename etape.</w:t>
      </w:r>
    </w:p>
    <w:p w14:paraId="59849E25" w14:textId="423C3BCA" w:rsidR="001F3D0F" w:rsidRPr="009D697F" w:rsidRDefault="00BA0AE2" w:rsidP="0010017E">
      <w:pPr>
        <w:pStyle w:val="Sraassunumeriais"/>
        <w:spacing w:line="280" w:lineRule="atLeast"/>
        <w:jc w:val="both"/>
        <w:rPr>
          <w:rFonts w:ascii="Times New Roman" w:hAnsi="Times New Roman" w:cs="Times New Roman"/>
          <w:color w:val="EE0000"/>
          <w:sz w:val="24"/>
          <w:szCs w:val="24"/>
          <w:lang w:val="lt-LT"/>
        </w:rPr>
      </w:pPr>
      <w:r w:rsidRPr="0010017E">
        <w:rPr>
          <w:rFonts w:ascii="Times New Roman" w:hAnsi="Times New Roman" w:cs="Times New Roman"/>
          <w:b/>
          <w:bCs/>
          <w:sz w:val="24"/>
          <w:szCs w:val="24"/>
          <w:lang w:val="lt-LT"/>
        </w:rPr>
        <w:t>Atmintinių sukūrimas sveikatos priežiūros specialistams (šeimos gydytojams) ir pacientams</w:t>
      </w:r>
      <w:r w:rsidRPr="0010017E">
        <w:rPr>
          <w:rFonts w:ascii="Times New Roman" w:hAnsi="Times New Roman" w:cs="Times New Roman"/>
          <w:sz w:val="24"/>
          <w:szCs w:val="24"/>
          <w:lang w:val="lt-LT"/>
        </w:rPr>
        <w:t xml:space="preserve"> – atmintinės turi apimti diagnostikos, gydymo ir slaugos rekomendacijas bei šeimos gydytojo siuntimų specialistams standartizavimo principus, skirtas dažniausioms ligoms (ne mažiau kaip 5–10 ligų)</w:t>
      </w:r>
      <w:r w:rsidR="00910A2D" w:rsidRPr="0010017E">
        <w:rPr>
          <w:rFonts w:ascii="Times New Roman" w:hAnsi="Times New Roman" w:cs="Times New Roman"/>
          <w:sz w:val="24"/>
          <w:szCs w:val="24"/>
          <w:lang w:val="lt-LT"/>
        </w:rPr>
        <w:t>: s</w:t>
      </w:r>
      <w:r w:rsidRPr="0010017E">
        <w:rPr>
          <w:rFonts w:ascii="Times New Roman" w:hAnsi="Times New Roman" w:cs="Times New Roman"/>
          <w:sz w:val="24"/>
          <w:szCs w:val="24"/>
          <w:lang w:val="lt-LT"/>
        </w:rPr>
        <w:t>pecialistams – glausta 1–2 puslapių profesinei praktikai pritaikyta atmintinė</w:t>
      </w:r>
      <w:r w:rsidR="00910A2D" w:rsidRPr="0010017E">
        <w:rPr>
          <w:rFonts w:ascii="Times New Roman" w:hAnsi="Times New Roman" w:cs="Times New Roman"/>
          <w:sz w:val="24"/>
          <w:szCs w:val="24"/>
          <w:lang w:val="lt-LT"/>
        </w:rPr>
        <w:t>; p</w:t>
      </w:r>
      <w:r w:rsidRPr="0010017E">
        <w:rPr>
          <w:rFonts w:ascii="Times New Roman" w:hAnsi="Times New Roman" w:cs="Times New Roman"/>
          <w:sz w:val="24"/>
          <w:szCs w:val="24"/>
          <w:lang w:val="lt-LT"/>
        </w:rPr>
        <w:t>acientams – 1–2 puslapių suprantamai ir aiškia kalba parengta atmintinė, skirta savišvietai ir ligos valdymui.</w:t>
      </w:r>
      <w:r w:rsidR="00191318" w:rsidRPr="0010017E">
        <w:rPr>
          <w:rFonts w:ascii="Times New Roman" w:hAnsi="Times New Roman" w:cs="Times New Roman"/>
          <w:sz w:val="24"/>
          <w:szCs w:val="24"/>
          <w:lang w:val="lt-LT"/>
        </w:rPr>
        <w:t xml:space="preserve"> </w:t>
      </w:r>
      <w:r w:rsidRPr="0010017E">
        <w:rPr>
          <w:rFonts w:ascii="Times New Roman" w:hAnsi="Times New Roman" w:cs="Times New Roman"/>
          <w:color w:val="EE0000"/>
          <w:sz w:val="24"/>
          <w:szCs w:val="24"/>
          <w:lang w:val="lt-LT"/>
        </w:rPr>
        <w:t>Sprendimas dėl atmintinių kiekio ir tematikos priimamas pagal susitarimą su Ministerija, atsižvelgiant į prioritetines visuomenės sveikatos sritis ir aktualius sergamumo duomenis.</w:t>
      </w:r>
      <w:r w:rsidR="001F3D0F" w:rsidRPr="0010017E">
        <w:rPr>
          <w:rFonts w:ascii="Times New Roman" w:hAnsi="Times New Roman" w:cs="Times New Roman"/>
          <w:color w:val="EE0000"/>
          <w:sz w:val="24"/>
          <w:szCs w:val="24"/>
          <w:lang w:val="lt-LT"/>
        </w:rPr>
        <w:t xml:space="preserve"> </w:t>
      </w:r>
      <w:r w:rsidR="001F3D0F" w:rsidRPr="009D697F">
        <w:rPr>
          <w:rFonts w:ascii="Times New Roman" w:hAnsi="Times New Roman" w:cs="Times New Roman"/>
          <w:color w:val="EE0000"/>
          <w:sz w:val="24"/>
          <w:szCs w:val="24"/>
          <w:lang w:val="lt-LT"/>
        </w:rPr>
        <w:t>Tiekėjas turi įvertinti, kokių kompetencijų specialistai yra reikalingi, norint užtikrinti kokybišką atmintinių parengimą pagal techninėje specifikacijoje nustatytus reikalavimus.</w:t>
      </w:r>
    </w:p>
    <w:p w14:paraId="467365FA" w14:textId="77777777" w:rsidR="0071013A" w:rsidRPr="00AA1A95" w:rsidRDefault="00937BC8" w:rsidP="000C2C9E">
      <w:pPr>
        <w:pStyle w:val="Antrat3"/>
        <w:spacing w:before="0" w:after="200" w:line="280" w:lineRule="atLeast"/>
        <w:rPr>
          <w:rFonts w:ascii="Times New Roman" w:hAnsi="Times New Roman" w:cs="Times New Roman"/>
          <w:color w:val="auto"/>
          <w:sz w:val="24"/>
          <w:szCs w:val="24"/>
          <w:lang w:val="lt-LT"/>
        </w:rPr>
      </w:pPr>
      <w:r w:rsidRPr="00AA1A95">
        <w:rPr>
          <w:rFonts w:ascii="Times New Roman" w:hAnsi="Times New Roman" w:cs="Times New Roman"/>
          <w:color w:val="auto"/>
          <w:sz w:val="24"/>
          <w:szCs w:val="24"/>
          <w:lang w:val="lt-LT"/>
        </w:rPr>
        <w:t>3.3. Sveikatos centrų teisinio reguliavimo analizė ir tobulinimo siūlymai</w:t>
      </w:r>
    </w:p>
    <w:p w14:paraId="7A7E48A4" w14:textId="77777777" w:rsidR="00DD151A" w:rsidRPr="00941642" w:rsidRDefault="00DD151A" w:rsidP="0010017E">
      <w:pPr>
        <w:spacing w:line="280" w:lineRule="atLeast"/>
        <w:jc w:val="both"/>
        <w:rPr>
          <w:rFonts w:ascii="Times New Roman" w:hAnsi="Times New Roman" w:cs="Times New Roman"/>
          <w:color w:val="EE0000"/>
          <w:sz w:val="24"/>
          <w:szCs w:val="24"/>
          <w:lang w:val="lt-LT"/>
        </w:rPr>
      </w:pPr>
      <w:r w:rsidRPr="00941642">
        <w:rPr>
          <w:rFonts w:ascii="Times New Roman" w:hAnsi="Times New Roman" w:cs="Times New Roman"/>
          <w:color w:val="EE0000"/>
          <w:sz w:val="24"/>
          <w:szCs w:val="24"/>
          <w:lang w:val="lt-LT"/>
        </w:rPr>
        <w:t xml:space="preserve">Analizė turi būti atliekama ne mažiau kaip 7 Sveikatos centruose, suderintuose su Lietuvos Respublikos sveikatos apsaugos ministerija (toliau – Ministerija). Atrenkant centrus turi būti užtikrinta, kad būtų </w:t>
      </w:r>
      <w:r w:rsidRPr="00941642">
        <w:rPr>
          <w:rFonts w:ascii="Times New Roman" w:hAnsi="Times New Roman" w:cs="Times New Roman"/>
          <w:color w:val="EE0000"/>
          <w:sz w:val="24"/>
          <w:szCs w:val="24"/>
          <w:lang w:val="lt-LT"/>
        </w:rPr>
        <w:lastRenderedPageBreak/>
        <w:t>atstovaujamos visos Sveikatos centrų grupės: funkciniai ir struktūriniai centrai, I–III grupių savivaldybės, bent vienas didmiesčio ir viena žiedinės savivaldybės įstaiga.</w:t>
      </w:r>
    </w:p>
    <w:p w14:paraId="2C19F798" w14:textId="441C8555" w:rsidR="00DD151A" w:rsidRPr="00003988" w:rsidRDefault="00DD151A" w:rsidP="003C0421">
      <w:pPr>
        <w:pStyle w:val="Sraassunumeriais"/>
        <w:spacing w:line="280" w:lineRule="atLeast"/>
        <w:jc w:val="both"/>
        <w:rPr>
          <w:rFonts w:ascii="Times New Roman" w:hAnsi="Times New Roman" w:cs="Times New Roman"/>
          <w:color w:val="EE0000"/>
          <w:sz w:val="24"/>
          <w:szCs w:val="24"/>
          <w:lang w:val="lt-LT"/>
        </w:rPr>
      </w:pPr>
      <w:r w:rsidRPr="00AA1A95">
        <w:rPr>
          <w:rFonts w:ascii="Times New Roman" w:hAnsi="Times New Roman" w:cs="Times New Roman"/>
          <w:b/>
          <w:bCs/>
          <w:sz w:val="24"/>
          <w:szCs w:val="24"/>
          <w:lang w:val="lt-LT"/>
        </w:rPr>
        <w:t>Esamo bazinio Sveikatos centrui priskirtų teikti paslaugų paketo (paslaugų sąrašo) įvertinimas ir pasiūlymai</w:t>
      </w:r>
      <w:r w:rsidRPr="00AA1A95">
        <w:rPr>
          <w:rFonts w:ascii="Times New Roman" w:hAnsi="Times New Roman" w:cs="Times New Roman"/>
          <w:sz w:val="24"/>
          <w:szCs w:val="24"/>
          <w:lang w:val="lt-LT"/>
        </w:rPr>
        <w:t xml:space="preserve"> dėl paslaugų įtraukimo ar išbraukimo. </w:t>
      </w:r>
      <w:r w:rsidRPr="00003988">
        <w:rPr>
          <w:rFonts w:ascii="Times New Roman" w:hAnsi="Times New Roman" w:cs="Times New Roman"/>
          <w:color w:val="EE0000"/>
          <w:sz w:val="24"/>
          <w:szCs w:val="24"/>
          <w:lang w:val="lt-LT"/>
        </w:rPr>
        <w:t>Vertinimas turi būti pagrįstas faktine sveikatos centruose teikiamų paslaugų analize, nustatytomis kliūtimis užtikrinant paslaugų teikimą, realiu paslaugų poreikiu bei viešųjų ir privačių asmens sveikatos priežiūros įstaigų bendradarbiavimo galimybėmis.</w:t>
      </w:r>
    </w:p>
    <w:p w14:paraId="53B8F33C" w14:textId="29487374" w:rsidR="00DD151A" w:rsidRPr="00AA1A95" w:rsidRDefault="00DD151A" w:rsidP="003C0421">
      <w:pPr>
        <w:pStyle w:val="Sraassunumeriais"/>
        <w:spacing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Tiekėjas turi savarankiškai rinkti duomenis iš viešai ar įprastai prieinamų šaltinių (pvz., Valstybės duomenų agentūros, Higienos instituto, Ministerijos viešai skelbiamų duomenų, Valstybinės ligonių kasos, publikacijų). Tais atvejais, kai reikalingi duomenys kaupiami riboto naudojimo informacinėse sistemose arba nėra viešai prieinami, juos pateikia Ministerija.</w:t>
      </w:r>
    </w:p>
    <w:p w14:paraId="46AD0D17" w14:textId="11962673" w:rsidR="00DD151A" w:rsidRPr="00AA1A95" w:rsidRDefault="00DD151A" w:rsidP="003C0421">
      <w:pPr>
        <w:pStyle w:val="Sraassunumeriais"/>
        <w:spacing w:line="280" w:lineRule="atLeast"/>
        <w:jc w:val="both"/>
        <w:rPr>
          <w:rFonts w:ascii="Times New Roman" w:hAnsi="Times New Roman" w:cs="Times New Roman"/>
          <w:b/>
          <w:bCs/>
          <w:sz w:val="24"/>
          <w:szCs w:val="24"/>
          <w:lang w:val="lt-LT"/>
        </w:rPr>
      </w:pPr>
      <w:r w:rsidRPr="00AA1A95">
        <w:rPr>
          <w:rFonts w:ascii="Times New Roman" w:hAnsi="Times New Roman" w:cs="Times New Roman"/>
          <w:b/>
          <w:bCs/>
          <w:sz w:val="24"/>
          <w:szCs w:val="24"/>
          <w:lang w:val="lt-LT"/>
        </w:rPr>
        <w:t>Pirminės ambulatorinės asmens sveikatos priežiūros teisinio reguliavimo tobulinimo siūlymai, įskaitant:</w:t>
      </w:r>
    </w:p>
    <w:p w14:paraId="77DC0DE2" w14:textId="0A3ABE77" w:rsidR="00DD151A" w:rsidRPr="00AA1A95" w:rsidRDefault="00DD151A" w:rsidP="00A30EA7">
      <w:pPr>
        <w:pStyle w:val="Sraassunumeriais"/>
        <w:numPr>
          <w:ilvl w:val="0"/>
          <w:numId w:val="0"/>
        </w:numPr>
        <w:spacing w:after="0"/>
        <w:ind w:left="720" w:hanging="720"/>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16.1. Optimalios aptarnaujamos apylinkės modelio sukūrimą. Modelis turi būti parengtas remiantis aiškiais kriterijais, apimančiais:</w:t>
      </w:r>
    </w:p>
    <w:p w14:paraId="500D91D5" w14:textId="77777777" w:rsidR="00DD151A" w:rsidRPr="00AA1A95" w:rsidRDefault="00DD151A" w:rsidP="00A30EA7">
      <w:pPr>
        <w:numPr>
          <w:ilvl w:val="0"/>
          <w:numId w:val="7"/>
        </w:numPr>
        <w:spacing w:after="0"/>
        <w:ind w:left="714" w:hanging="357"/>
        <w:rPr>
          <w:rFonts w:ascii="Times New Roman" w:hAnsi="Times New Roman" w:cs="Times New Roman"/>
          <w:sz w:val="24"/>
          <w:szCs w:val="24"/>
          <w:lang w:val="lt-LT"/>
        </w:rPr>
      </w:pPr>
      <w:r w:rsidRPr="00AA1A95">
        <w:rPr>
          <w:rFonts w:ascii="Times New Roman" w:hAnsi="Times New Roman" w:cs="Times New Roman"/>
          <w:sz w:val="24"/>
          <w:szCs w:val="24"/>
          <w:lang w:val="lt-LT"/>
        </w:rPr>
        <w:t>apylinkės gyventojų demografinius rodiklius (amžiaus, lyties struktūrą, sergamumą);</w:t>
      </w:r>
    </w:p>
    <w:p w14:paraId="33A08699" w14:textId="77777777" w:rsidR="00DD151A" w:rsidRPr="00AA1A95" w:rsidRDefault="00DD151A" w:rsidP="00A30EA7">
      <w:pPr>
        <w:numPr>
          <w:ilvl w:val="0"/>
          <w:numId w:val="7"/>
        </w:numPr>
        <w:spacing w:after="0"/>
        <w:ind w:left="714" w:hanging="357"/>
        <w:rPr>
          <w:rFonts w:ascii="Times New Roman" w:hAnsi="Times New Roman" w:cs="Times New Roman"/>
          <w:sz w:val="24"/>
          <w:szCs w:val="24"/>
          <w:lang w:val="lt-LT"/>
        </w:rPr>
      </w:pPr>
      <w:r w:rsidRPr="00AA1A95">
        <w:rPr>
          <w:rFonts w:ascii="Times New Roman" w:hAnsi="Times New Roman" w:cs="Times New Roman"/>
          <w:sz w:val="24"/>
          <w:szCs w:val="24"/>
          <w:lang w:val="lt-LT"/>
        </w:rPr>
        <w:t>paslaugų prieinamumo geografinį pasiskirstymą;</w:t>
      </w:r>
    </w:p>
    <w:p w14:paraId="30587CD7" w14:textId="77777777" w:rsidR="00DD151A" w:rsidRPr="00AA1A95" w:rsidRDefault="00DD151A" w:rsidP="00A30EA7">
      <w:pPr>
        <w:numPr>
          <w:ilvl w:val="0"/>
          <w:numId w:val="7"/>
        </w:numPr>
        <w:spacing w:after="0"/>
        <w:ind w:left="714" w:hanging="357"/>
        <w:rPr>
          <w:rFonts w:ascii="Times New Roman" w:hAnsi="Times New Roman" w:cs="Times New Roman"/>
          <w:sz w:val="24"/>
          <w:szCs w:val="24"/>
          <w:lang w:val="lt-LT"/>
        </w:rPr>
      </w:pPr>
      <w:r w:rsidRPr="00AA1A95">
        <w:rPr>
          <w:rFonts w:ascii="Times New Roman" w:hAnsi="Times New Roman" w:cs="Times New Roman"/>
          <w:sz w:val="24"/>
          <w:szCs w:val="24"/>
          <w:lang w:val="lt-LT"/>
        </w:rPr>
        <w:t>esamų žmogiškųjų išteklių panaudojimo efektyvumą;</w:t>
      </w:r>
    </w:p>
    <w:p w14:paraId="4DBA151A" w14:textId="77777777" w:rsidR="00DD151A" w:rsidRPr="00AA1A95" w:rsidRDefault="00DD151A" w:rsidP="00A30EA7">
      <w:pPr>
        <w:numPr>
          <w:ilvl w:val="0"/>
          <w:numId w:val="7"/>
        </w:numPr>
        <w:spacing w:after="0"/>
        <w:ind w:left="714" w:hanging="357"/>
        <w:rPr>
          <w:rFonts w:ascii="Times New Roman" w:hAnsi="Times New Roman" w:cs="Times New Roman"/>
          <w:sz w:val="24"/>
          <w:szCs w:val="24"/>
          <w:lang w:val="lt-LT"/>
        </w:rPr>
      </w:pPr>
      <w:r w:rsidRPr="00AA1A95">
        <w:rPr>
          <w:rFonts w:ascii="Times New Roman" w:hAnsi="Times New Roman" w:cs="Times New Roman"/>
          <w:sz w:val="24"/>
          <w:szCs w:val="24"/>
          <w:lang w:val="lt-LT"/>
        </w:rPr>
        <w:t>sveikatos paslaugų paklausos ir pasiūlos subalansavimą.</w:t>
      </w:r>
    </w:p>
    <w:p w14:paraId="76C86DD8" w14:textId="77777777" w:rsidR="00DD151A" w:rsidRPr="00AA1A95" w:rsidRDefault="00DD151A" w:rsidP="00A60919">
      <w:pPr>
        <w:pStyle w:val="Sraopastraipa"/>
        <w:numPr>
          <w:ilvl w:val="0"/>
          <w:numId w:val="7"/>
        </w:numPr>
        <w:spacing w:after="0"/>
        <w:ind w:left="357" w:hanging="357"/>
        <w:rPr>
          <w:rFonts w:ascii="Times New Roman" w:hAnsi="Times New Roman" w:cs="Times New Roman"/>
          <w:sz w:val="24"/>
          <w:szCs w:val="24"/>
          <w:lang w:val="lt-LT"/>
        </w:rPr>
      </w:pPr>
      <w:r w:rsidRPr="00AA1A95">
        <w:rPr>
          <w:rFonts w:ascii="Times New Roman" w:hAnsi="Times New Roman" w:cs="Times New Roman"/>
          <w:sz w:val="24"/>
          <w:szCs w:val="24"/>
          <w:lang w:val="lt-LT"/>
        </w:rPr>
        <w:t>Modeliu siekiama užtikrinti kokybiškas ir prieinamas paslaugas, racionaliai paskirstant darbo krūvį ir resursus.</w:t>
      </w:r>
    </w:p>
    <w:p w14:paraId="022AEACA" w14:textId="046522CF" w:rsidR="00DD151A" w:rsidRPr="00311E0E" w:rsidRDefault="00DD151A" w:rsidP="00A60919">
      <w:pPr>
        <w:pStyle w:val="Sraassunumeriais"/>
        <w:numPr>
          <w:ilvl w:val="0"/>
          <w:numId w:val="0"/>
        </w:numPr>
        <w:spacing w:after="0"/>
        <w:ind w:left="357" w:hanging="357"/>
        <w:jc w:val="both"/>
        <w:rPr>
          <w:rFonts w:ascii="Times New Roman" w:hAnsi="Times New Roman" w:cs="Times New Roman"/>
          <w:color w:val="EE0000"/>
          <w:sz w:val="24"/>
          <w:szCs w:val="24"/>
          <w:lang w:val="lt-LT"/>
        </w:rPr>
      </w:pPr>
      <w:r w:rsidRPr="00AA1A95">
        <w:rPr>
          <w:rFonts w:ascii="Times New Roman" w:hAnsi="Times New Roman" w:cs="Times New Roman"/>
          <w:sz w:val="24"/>
          <w:szCs w:val="24"/>
          <w:lang w:val="lt-LT"/>
        </w:rPr>
        <w:t xml:space="preserve">16.2. Administracinės naštos, tenkančios šeimos gydytojui, mažinimo priemonių identifikavimą (pvz., tiesiogiai su gydymu nesusijusių funkcijų atsisakymą ar jų perdavimą kitiems komandos nariams, perteklinių siuntimų gydytojams oftalmologams mažinimą). </w:t>
      </w:r>
      <w:r w:rsidRPr="00311E0E">
        <w:rPr>
          <w:rFonts w:ascii="Times New Roman" w:hAnsi="Times New Roman" w:cs="Times New Roman"/>
          <w:color w:val="EE0000"/>
          <w:sz w:val="24"/>
          <w:szCs w:val="24"/>
          <w:lang w:val="lt-LT"/>
        </w:rPr>
        <w:t>Tiekėjas turi atlikti išsamią faktinės situacijos analizę Sveikatos centruose, įvertinant šeimos gydytojų atliekamas funkcijas, administracinės naštos mastą ir pateikiant siūlymus dėl jos mažinimo priemonių.</w:t>
      </w:r>
    </w:p>
    <w:p w14:paraId="437DE97A" w14:textId="6C5E7C44" w:rsidR="00DD151A" w:rsidRPr="00311E0E" w:rsidRDefault="00DD151A" w:rsidP="00A60919">
      <w:pPr>
        <w:pStyle w:val="Sraassunumeriais"/>
        <w:numPr>
          <w:ilvl w:val="0"/>
          <w:numId w:val="0"/>
        </w:numPr>
        <w:spacing w:after="0"/>
        <w:ind w:left="357" w:hanging="357"/>
        <w:jc w:val="both"/>
        <w:rPr>
          <w:rFonts w:ascii="Times New Roman" w:hAnsi="Times New Roman" w:cs="Times New Roman"/>
          <w:color w:val="EE0000"/>
          <w:sz w:val="24"/>
          <w:szCs w:val="24"/>
          <w:lang w:val="lt-LT"/>
        </w:rPr>
      </w:pPr>
      <w:r w:rsidRPr="00AA1A95">
        <w:rPr>
          <w:rFonts w:ascii="Times New Roman" w:hAnsi="Times New Roman" w:cs="Times New Roman"/>
          <w:sz w:val="24"/>
          <w:szCs w:val="24"/>
          <w:lang w:val="lt-LT"/>
        </w:rPr>
        <w:t xml:space="preserve">16.3. Šeimos gydytojo komandos sudėties vertinimą ir siūlymus dėl funkcijų delegavimo kitiems komandos nariams, įskaitant slaugytojų vaidmens didinimą lėtinių ligų valdyme. </w:t>
      </w:r>
      <w:r w:rsidRPr="00311E0E">
        <w:rPr>
          <w:rFonts w:ascii="Times New Roman" w:hAnsi="Times New Roman" w:cs="Times New Roman"/>
          <w:color w:val="EE0000"/>
          <w:sz w:val="24"/>
          <w:szCs w:val="24"/>
          <w:lang w:val="lt-LT"/>
        </w:rPr>
        <w:t>Vertinimas turi būti atliktas remiantis tiek teisės aktų nuostatomis, tiek faktine situacijos analize Sveikatos centruose. Tyrimas turi būti reprezentatyvus ir apimti skirtingų tipų centrus.</w:t>
      </w:r>
      <w:r w:rsidR="00677EA5" w:rsidRPr="00311E0E">
        <w:rPr>
          <w:rFonts w:ascii="Times New Roman" w:hAnsi="Times New Roman" w:cs="Times New Roman"/>
          <w:color w:val="EE0000"/>
          <w:sz w:val="24"/>
          <w:szCs w:val="24"/>
          <w:lang w:val="lt-LT"/>
        </w:rPr>
        <w:t xml:space="preserve"> </w:t>
      </w:r>
      <w:r w:rsidRPr="00311E0E">
        <w:rPr>
          <w:rFonts w:ascii="Times New Roman" w:hAnsi="Times New Roman" w:cs="Times New Roman"/>
          <w:color w:val="EE0000"/>
          <w:sz w:val="24"/>
          <w:szCs w:val="24"/>
          <w:lang w:val="lt-LT"/>
        </w:rPr>
        <w:t>Siūlymai turi būti konkretūs – pateikiant išsamų funkcijų sąrašą pagal profesines grupes (pvz., kokias užduotis gali perimti slaugytojai, akušeriai, kineziterapeutai ir kt.), kad rekomendacijos būtų praktiškai įgyvendinamos.</w:t>
      </w:r>
    </w:p>
    <w:p w14:paraId="5072B999" w14:textId="344EC4BD" w:rsidR="00DD151A" w:rsidRPr="00311E0E" w:rsidRDefault="005D12D4" w:rsidP="00A60919">
      <w:pPr>
        <w:pStyle w:val="Sraassunumeriais"/>
        <w:numPr>
          <w:ilvl w:val="0"/>
          <w:numId w:val="0"/>
        </w:numPr>
        <w:spacing w:after="0"/>
        <w:ind w:left="357" w:hanging="357"/>
        <w:jc w:val="both"/>
        <w:rPr>
          <w:rFonts w:ascii="Times New Roman" w:hAnsi="Times New Roman" w:cs="Times New Roman"/>
          <w:color w:val="EE0000"/>
          <w:sz w:val="24"/>
          <w:szCs w:val="24"/>
          <w:lang w:val="lt-LT"/>
        </w:rPr>
      </w:pPr>
      <w:r w:rsidRPr="00AA1A95">
        <w:rPr>
          <w:rFonts w:ascii="Times New Roman" w:hAnsi="Times New Roman" w:cs="Times New Roman"/>
          <w:sz w:val="24"/>
          <w:szCs w:val="24"/>
          <w:lang w:val="lt-LT"/>
        </w:rPr>
        <w:t xml:space="preserve">16.4. </w:t>
      </w:r>
      <w:r w:rsidR="00DD151A" w:rsidRPr="00AA1A95">
        <w:rPr>
          <w:rFonts w:ascii="Times New Roman" w:hAnsi="Times New Roman" w:cs="Times New Roman"/>
          <w:sz w:val="24"/>
          <w:szCs w:val="24"/>
          <w:lang w:val="lt-LT"/>
        </w:rPr>
        <w:t>Pacientų priežiūros protokolų parengimą (pvz., sergantiems LOPL, bronchine astma, širdies nepakankamumu, arterine hipertenzija, cukriniu diabetu).</w:t>
      </w:r>
      <w:r w:rsidR="00677EA5" w:rsidRPr="00AA1A95">
        <w:rPr>
          <w:rFonts w:ascii="Times New Roman" w:hAnsi="Times New Roman" w:cs="Times New Roman"/>
          <w:sz w:val="24"/>
          <w:szCs w:val="24"/>
          <w:lang w:val="lt-LT"/>
        </w:rPr>
        <w:t xml:space="preserve"> </w:t>
      </w:r>
      <w:r w:rsidR="00DD151A" w:rsidRPr="00AA1A95">
        <w:rPr>
          <w:rFonts w:ascii="Times New Roman" w:hAnsi="Times New Roman" w:cs="Times New Roman"/>
          <w:sz w:val="24"/>
          <w:szCs w:val="24"/>
          <w:lang w:val="lt-LT"/>
        </w:rPr>
        <w:t>Tiekėjo komanda turi turėti medicinos, sveikatos vadybos, klinikinių procesų ir paslaugų kokybės valdymo sričių ekspertų.</w:t>
      </w:r>
      <w:r w:rsidR="00677EA5" w:rsidRPr="00AA1A95">
        <w:rPr>
          <w:rFonts w:ascii="Times New Roman" w:hAnsi="Times New Roman" w:cs="Times New Roman"/>
          <w:sz w:val="24"/>
          <w:szCs w:val="24"/>
          <w:lang w:val="lt-LT"/>
        </w:rPr>
        <w:t xml:space="preserve"> </w:t>
      </w:r>
      <w:r w:rsidR="00DD151A" w:rsidRPr="00311E0E">
        <w:rPr>
          <w:rFonts w:ascii="Times New Roman" w:hAnsi="Times New Roman" w:cs="Times New Roman"/>
          <w:color w:val="EE0000"/>
          <w:sz w:val="24"/>
          <w:szCs w:val="24"/>
          <w:lang w:val="lt-LT"/>
        </w:rPr>
        <w:t>Sprendimas dėl pacientų priežiūros protokolų kiekio ir tematikos priimamas pagal susitarimą su Ministerija, atsižvelgiant į aktualiausias visuomenės sveikatos problemas, sergamumo duomenis ir sveikatos politikos prioritetus.</w:t>
      </w:r>
    </w:p>
    <w:p w14:paraId="2D3CCB27" w14:textId="6DC7FC27" w:rsidR="00DD151A" w:rsidRPr="00AA1A95" w:rsidRDefault="00DD151A" w:rsidP="000538B6">
      <w:pPr>
        <w:pStyle w:val="Sraassunumeriais"/>
        <w:spacing w:line="280" w:lineRule="atLeast"/>
        <w:jc w:val="both"/>
        <w:rPr>
          <w:rFonts w:ascii="Times New Roman" w:hAnsi="Times New Roman" w:cs="Times New Roman"/>
          <w:b/>
          <w:bCs/>
          <w:sz w:val="24"/>
          <w:szCs w:val="24"/>
          <w:lang w:val="lt-LT"/>
        </w:rPr>
      </w:pPr>
      <w:r w:rsidRPr="00AA1A95">
        <w:rPr>
          <w:rFonts w:ascii="Times New Roman" w:hAnsi="Times New Roman" w:cs="Times New Roman"/>
          <w:b/>
          <w:bCs/>
          <w:sz w:val="24"/>
          <w:szCs w:val="24"/>
          <w:lang w:val="lt-LT"/>
        </w:rPr>
        <w:t>Pacientų srautų valdymo analizė ir priemonių planas:</w:t>
      </w:r>
    </w:p>
    <w:p w14:paraId="104A6F23" w14:textId="77777777" w:rsidR="00DD151A" w:rsidRPr="00AA1A95" w:rsidRDefault="00DD151A" w:rsidP="00C92D85">
      <w:pPr>
        <w:pStyle w:val="Sraopastraipa"/>
        <w:numPr>
          <w:ilvl w:val="1"/>
          <w:numId w:val="8"/>
        </w:numPr>
        <w:spacing w:after="0"/>
        <w:rPr>
          <w:rFonts w:ascii="Times New Roman" w:hAnsi="Times New Roman" w:cs="Times New Roman"/>
          <w:sz w:val="24"/>
          <w:szCs w:val="24"/>
          <w:lang w:val="lt-LT"/>
        </w:rPr>
      </w:pPr>
      <w:r w:rsidRPr="00AA1A95">
        <w:rPr>
          <w:rFonts w:ascii="Times New Roman" w:hAnsi="Times New Roman" w:cs="Times New Roman"/>
          <w:sz w:val="24"/>
          <w:szCs w:val="24"/>
          <w:lang w:val="lt-LT"/>
        </w:rPr>
        <w:t>eilių susidarymo priežasčių pas šeimos gydytojus ir gydytojus specialistus nustatymas;</w:t>
      </w:r>
    </w:p>
    <w:p w14:paraId="12964EA2" w14:textId="77777777" w:rsidR="00DD151A" w:rsidRPr="00AA1A95" w:rsidRDefault="00DD151A" w:rsidP="00C92D85">
      <w:pPr>
        <w:pStyle w:val="Sraopastraipa"/>
        <w:numPr>
          <w:ilvl w:val="1"/>
          <w:numId w:val="8"/>
        </w:numPr>
        <w:spacing w:after="0"/>
        <w:rPr>
          <w:rFonts w:ascii="Times New Roman" w:hAnsi="Times New Roman" w:cs="Times New Roman"/>
          <w:sz w:val="24"/>
          <w:szCs w:val="24"/>
          <w:lang w:val="lt-LT"/>
        </w:rPr>
      </w:pPr>
      <w:r w:rsidRPr="00AA1A95">
        <w:rPr>
          <w:rFonts w:ascii="Times New Roman" w:hAnsi="Times New Roman" w:cs="Times New Roman"/>
          <w:sz w:val="24"/>
          <w:szCs w:val="24"/>
          <w:lang w:val="lt-LT"/>
        </w:rPr>
        <w:t>gerosios praktikos pavyzdžių ir veiksmingų eilių valdymo priemonių identifikavimas;</w:t>
      </w:r>
    </w:p>
    <w:p w14:paraId="2B536A2E" w14:textId="77777777" w:rsidR="00DD151A" w:rsidRPr="00AA1A95" w:rsidRDefault="00DD151A" w:rsidP="00C92D85">
      <w:pPr>
        <w:pStyle w:val="Sraopastraipa"/>
        <w:numPr>
          <w:ilvl w:val="1"/>
          <w:numId w:val="8"/>
        </w:numPr>
        <w:spacing w:after="0"/>
        <w:rPr>
          <w:rFonts w:ascii="Times New Roman" w:hAnsi="Times New Roman" w:cs="Times New Roman"/>
          <w:sz w:val="24"/>
          <w:szCs w:val="24"/>
          <w:lang w:val="lt-LT"/>
        </w:rPr>
      </w:pPr>
      <w:r w:rsidRPr="00AA1A95">
        <w:rPr>
          <w:rFonts w:ascii="Times New Roman" w:hAnsi="Times New Roman" w:cs="Times New Roman"/>
          <w:sz w:val="24"/>
          <w:szCs w:val="24"/>
          <w:lang w:val="lt-LT"/>
        </w:rPr>
        <w:t>srautų valdymo gairių parengimas, įvertinant galimybę pirminės grandies specialistams siųsti pacientus planinėms specializuotoms paslaugoms ir registruoti juos pagal nustatytą rizikos lygį;</w:t>
      </w:r>
    </w:p>
    <w:p w14:paraId="3A1D2B92" w14:textId="77777777" w:rsidR="00DD151A" w:rsidRPr="00AA1A95" w:rsidRDefault="00DD151A" w:rsidP="00C92D85">
      <w:pPr>
        <w:pStyle w:val="Sraopastraipa"/>
        <w:numPr>
          <w:ilvl w:val="1"/>
          <w:numId w:val="8"/>
        </w:numPr>
        <w:spacing w:after="0"/>
        <w:rPr>
          <w:rFonts w:ascii="Times New Roman" w:hAnsi="Times New Roman" w:cs="Times New Roman"/>
          <w:sz w:val="24"/>
          <w:szCs w:val="24"/>
          <w:lang w:val="lt-LT"/>
        </w:rPr>
      </w:pPr>
      <w:r w:rsidRPr="00AA1A95">
        <w:rPr>
          <w:rFonts w:ascii="Times New Roman" w:hAnsi="Times New Roman" w:cs="Times New Roman"/>
          <w:sz w:val="24"/>
          <w:szCs w:val="24"/>
          <w:lang w:val="lt-LT"/>
        </w:rPr>
        <w:lastRenderedPageBreak/>
        <w:t>paslaugų laukimo eilių mažinimo priemonių planas su konkrečiais veiksmais, skirtais šalinti eilių priežastis, gerinti paslaugų prieinamumą ir efektyviai naudoti išteklius;</w:t>
      </w:r>
    </w:p>
    <w:p w14:paraId="0C1D571C" w14:textId="77777777" w:rsidR="00DD151A" w:rsidRPr="00AA1A95" w:rsidRDefault="00DD151A" w:rsidP="00C92D85">
      <w:pPr>
        <w:pStyle w:val="Sraopastraipa"/>
        <w:numPr>
          <w:ilvl w:val="1"/>
          <w:numId w:val="8"/>
        </w:numPr>
        <w:spacing w:after="0"/>
        <w:rPr>
          <w:rFonts w:ascii="Times New Roman" w:hAnsi="Times New Roman" w:cs="Times New Roman"/>
          <w:sz w:val="24"/>
          <w:szCs w:val="24"/>
          <w:lang w:val="lt-LT"/>
        </w:rPr>
      </w:pPr>
      <w:r w:rsidRPr="00AA1A95">
        <w:rPr>
          <w:rFonts w:ascii="Times New Roman" w:hAnsi="Times New Roman" w:cs="Times New Roman"/>
          <w:sz w:val="24"/>
          <w:szCs w:val="24"/>
          <w:lang w:val="lt-LT"/>
        </w:rPr>
        <w:t>gerosios valdysenos pavyzdžių pateikimas eilių mažinimo srityje.</w:t>
      </w:r>
    </w:p>
    <w:p w14:paraId="5CA38332" w14:textId="0A774F26" w:rsidR="00DD151A" w:rsidRPr="00311E0E" w:rsidRDefault="00BB0814" w:rsidP="00311E0E">
      <w:pPr>
        <w:spacing w:after="80"/>
        <w:ind w:firstLine="360"/>
        <w:jc w:val="both"/>
        <w:rPr>
          <w:rFonts w:ascii="Times New Roman" w:hAnsi="Times New Roman" w:cs="Times New Roman"/>
          <w:i/>
          <w:iCs/>
          <w:color w:val="EE0000"/>
          <w:sz w:val="24"/>
          <w:szCs w:val="24"/>
          <w:lang w:val="lt-LT"/>
        </w:rPr>
      </w:pPr>
      <w:r w:rsidRPr="00311E0E">
        <w:rPr>
          <w:rFonts w:ascii="Times New Roman" w:hAnsi="Times New Roman" w:cs="Times New Roman"/>
          <w:i/>
          <w:iCs/>
          <w:color w:val="EE0000"/>
          <w:sz w:val="24"/>
          <w:szCs w:val="24"/>
          <w:lang w:val="lt-LT"/>
        </w:rPr>
        <w:t xml:space="preserve">17 </w:t>
      </w:r>
      <w:r w:rsidR="00DD151A" w:rsidRPr="00311E0E">
        <w:rPr>
          <w:rFonts w:ascii="Times New Roman" w:hAnsi="Times New Roman" w:cs="Times New Roman"/>
          <w:i/>
          <w:iCs/>
          <w:color w:val="EE0000"/>
          <w:sz w:val="24"/>
          <w:szCs w:val="24"/>
          <w:lang w:val="lt-LT"/>
        </w:rPr>
        <w:t>punktas</w:t>
      </w:r>
      <w:r w:rsidRPr="00311E0E">
        <w:rPr>
          <w:rFonts w:ascii="Times New Roman" w:hAnsi="Times New Roman" w:cs="Times New Roman"/>
          <w:i/>
          <w:iCs/>
          <w:color w:val="EE0000"/>
          <w:sz w:val="24"/>
          <w:szCs w:val="24"/>
          <w:lang w:val="lt-LT"/>
        </w:rPr>
        <w:t xml:space="preserve"> apima </w:t>
      </w:r>
      <w:r w:rsidR="00DD151A" w:rsidRPr="00311E0E">
        <w:rPr>
          <w:rFonts w:ascii="Times New Roman" w:hAnsi="Times New Roman" w:cs="Times New Roman"/>
          <w:i/>
          <w:iCs/>
          <w:color w:val="EE0000"/>
          <w:sz w:val="24"/>
          <w:szCs w:val="24"/>
          <w:lang w:val="lt-LT"/>
        </w:rPr>
        <w:t>išsamią situacijos analizę ir sisteminių sprendimų parengimą.</w:t>
      </w:r>
      <w:r w:rsidRPr="00311E0E">
        <w:rPr>
          <w:rFonts w:ascii="Times New Roman" w:hAnsi="Times New Roman" w:cs="Times New Roman"/>
          <w:i/>
          <w:iCs/>
          <w:color w:val="EE0000"/>
          <w:sz w:val="24"/>
          <w:szCs w:val="24"/>
          <w:lang w:val="lt-LT"/>
        </w:rPr>
        <w:t xml:space="preserve"> </w:t>
      </w:r>
      <w:r w:rsidR="00DD151A" w:rsidRPr="00311E0E">
        <w:rPr>
          <w:rFonts w:ascii="Times New Roman" w:hAnsi="Times New Roman" w:cs="Times New Roman"/>
          <w:i/>
          <w:iCs/>
          <w:color w:val="EE0000"/>
          <w:sz w:val="24"/>
          <w:szCs w:val="24"/>
          <w:lang w:val="lt-LT"/>
        </w:rPr>
        <w:t xml:space="preserve">Analizė turi būti atliekama </w:t>
      </w:r>
      <w:r w:rsidR="00DD151A" w:rsidRPr="00311E0E">
        <w:rPr>
          <w:rFonts w:ascii="Times New Roman" w:hAnsi="Times New Roman" w:cs="Times New Roman"/>
          <w:b/>
          <w:bCs/>
          <w:i/>
          <w:iCs/>
          <w:color w:val="EE0000"/>
          <w:sz w:val="24"/>
          <w:szCs w:val="24"/>
          <w:lang w:val="lt-LT"/>
        </w:rPr>
        <w:t>ne mažiau kaip 7 Sveikatos centruose</w:t>
      </w:r>
      <w:r w:rsidR="00DD151A" w:rsidRPr="00311E0E">
        <w:rPr>
          <w:rFonts w:ascii="Times New Roman" w:hAnsi="Times New Roman" w:cs="Times New Roman"/>
          <w:i/>
          <w:iCs/>
          <w:color w:val="EE0000"/>
          <w:sz w:val="24"/>
          <w:szCs w:val="24"/>
          <w:lang w:val="lt-LT"/>
        </w:rPr>
        <w:t>, užtikrinant atstovavimą visoms centrų grupėms.</w:t>
      </w:r>
      <w:r w:rsidR="006D38DB" w:rsidRPr="00311E0E">
        <w:rPr>
          <w:rFonts w:ascii="Times New Roman" w:hAnsi="Times New Roman" w:cs="Times New Roman"/>
          <w:i/>
          <w:iCs/>
          <w:color w:val="EE0000"/>
          <w:sz w:val="24"/>
          <w:szCs w:val="24"/>
          <w:lang w:val="lt-LT"/>
        </w:rPr>
        <w:t xml:space="preserve"> </w:t>
      </w:r>
      <w:r w:rsidR="00DD151A" w:rsidRPr="00311E0E">
        <w:rPr>
          <w:rFonts w:ascii="Times New Roman" w:hAnsi="Times New Roman" w:cs="Times New Roman"/>
          <w:i/>
          <w:iCs/>
          <w:color w:val="EE0000"/>
          <w:sz w:val="24"/>
          <w:szCs w:val="24"/>
          <w:lang w:val="lt-LT"/>
        </w:rPr>
        <w:t xml:space="preserve">Tiekėjas turi pateikti </w:t>
      </w:r>
      <w:r w:rsidR="00DD151A" w:rsidRPr="00311E0E">
        <w:rPr>
          <w:rFonts w:ascii="Times New Roman" w:hAnsi="Times New Roman" w:cs="Times New Roman"/>
          <w:b/>
          <w:bCs/>
          <w:i/>
          <w:iCs/>
          <w:color w:val="EE0000"/>
          <w:sz w:val="24"/>
          <w:szCs w:val="24"/>
          <w:lang w:val="lt-LT"/>
        </w:rPr>
        <w:t>kiekybinius modelius ir prognozinius scenarijus</w:t>
      </w:r>
      <w:r w:rsidR="00DD151A" w:rsidRPr="00311E0E">
        <w:rPr>
          <w:rFonts w:ascii="Times New Roman" w:hAnsi="Times New Roman" w:cs="Times New Roman"/>
          <w:i/>
          <w:iCs/>
          <w:color w:val="EE0000"/>
          <w:sz w:val="24"/>
          <w:szCs w:val="24"/>
          <w:lang w:val="lt-LT"/>
        </w:rPr>
        <w:t>, pagrįstus duomenų analize (pvz., laukimo eilių mažėjimo modeliai), siekiant įvertinti siūlomų priemonių efektyvumą.</w:t>
      </w:r>
    </w:p>
    <w:p w14:paraId="27632D7E" w14:textId="3D59DDA8" w:rsidR="00DD151A" w:rsidRPr="00AA1A95" w:rsidRDefault="00DD151A" w:rsidP="005D12D4">
      <w:pPr>
        <w:pStyle w:val="Sraassunumeriais"/>
        <w:spacing w:after="80"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Pasiūlymai šeimos medicinos paslaugas teikiančių įstaigų akreditacijos reikalavimų tobulinimui, glaudžiau siejant juos su pasiektais rezultatais.</w:t>
      </w:r>
    </w:p>
    <w:p w14:paraId="63AFBAC4" w14:textId="4AD6EF25" w:rsidR="000A044E" w:rsidRPr="004D3FEA" w:rsidRDefault="00895C42" w:rsidP="00E0127E">
      <w:pPr>
        <w:pStyle w:val="Sraassunumeriais"/>
        <w:spacing w:line="280" w:lineRule="atLeast"/>
        <w:jc w:val="both"/>
        <w:rPr>
          <w:rFonts w:ascii="Times New Roman" w:hAnsi="Times New Roman" w:cs="Times New Roman"/>
          <w:color w:val="EE0000"/>
          <w:sz w:val="24"/>
          <w:szCs w:val="24"/>
          <w:lang w:val="lt-LT"/>
        </w:rPr>
      </w:pPr>
      <w:r w:rsidRPr="00AA1A95">
        <w:rPr>
          <w:rFonts w:ascii="Times New Roman" w:hAnsi="Times New Roman" w:cs="Times New Roman"/>
          <w:sz w:val="24"/>
          <w:szCs w:val="24"/>
          <w:lang w:val="lt-LT"/>
        </w:rPr>
        <w:t xml:space="preserve"> </w:t>
      </w:r>
      <w:r w:rsidR="00DD151A" w:rsidRPr="00AA1A95">
        <w:rPr>
          <w:rFonts w:ascii="Times New Roman" w:hAnsi="Times New Roman" w:cs="Times New Roman"/>
          <w:sz w:val="24"/>
          <w:szCs w:val="24"/>
          <w:lang w:val="lt-LT"/>
        </w:rPr>
        <w:t>Siuntimų paslaugoms atvejo analizė atrinktuose Sveikatos centruose (ne mažiau kaip 7, suderintuose su Ministerija).</w:t>
      </w:r>
      <w:r w:rsidR="0086307A" w:rsidRPr="00AA1A95">
        <w:rPr>
          <w:rFonts w:ascii="Times New Roman" w:hAnsi="Times New Roman" w:cs="Times New Roman"/>
          <w:sz w:val="24"/>
          <w:szCs w:val="24"/>
          <w:lang w:val="lt-LT"/>
        </w:rPr>
        <w:t xml:space="preserve"> </w:t>
      </w:r>
      <w:r w:rsidR="00DD151A" w:rsidRPr="004D3FEA">
        <w:rPr>
          <w:rFonts w:ascii="Times New Roman" w:hAnsi="Times New Roman" w:cs="Times New Roman"/>
          <w:color w:val="EE0000"/>
          <w:sz w:val="24"/>
          <w:szCs w:val="24"/>
          <w:lang w:val="lt-LT"/>
        </w:rPr>
        <w:t>Analizė turi būti atliekama išsamiai – apimant vizitus, interviu su personalu ir procesų stebėjimą.</w:t>
      </w:r>
      <w:r w:rsidR="00047A42" w:rsidRPr="004D3FEA">
        <w:rPr>
          <w:rFonts w:ascii="Times New Roman" w:hAnsi="Times New Roman" w:cs="Times New Roman"/>
          <w:color w:val="EE0000"/>
          <w:sz w:val="24"/>
          <w:szCs w:val="24"/>
          <w:lang w:val="lt-LT"/>
        </w:rPr>
        <w:t xml:space="preserve"> </w:t>
      </w:r>
    </w:p>
    <w:p w14:paraId="2B0EFF96" w14:textId="77777777" w:rsidR="00A461BF" w:rsidRPr="006773DD" w:rsidRDefault="00DD151A" w:rsidP="00AD3318">
      <w:pPr>
        <w:pStyle w:val="Sraassunumeriais"/>
        <w:spacing w:line="280" w:lineRule="atLeast"/>
        <w:jc w:val="both"/>
        <w:rPr>
          <w:rFonts w:ascii="Times New Roman" w:hAnsi="Times New Roman" w:cs="Times New Roman"/>
          <w:color w:val="EE0000"/>
          <w:sz w:val="24"/>
          <w:szCs w:val="24"/>
          <w:lang w:val="lt-LT"/>
        </w:rPr>
      </w:pPr>
      <w:r w:rsidRPr="00040E5F">
        <w:rPr>
          <w:rFonts w:ascii="Times New Roman" w:hAnsi="Times New Roman" w:cs="Times New Roman"/>
          <w:sz w:val="24"/>
          <w:szCs w:val="24"/>
          <w:lang w:val="lt-LT"/>
        </w:rPr>
        <w:t>Sveikatos centro veikloje dalyvaujančių įstaigų apklausa, apimanti valdysenos ir bendradarbiavimo klausimus, koordinavimo procesus, dalyvių kompetencijas, teises, funkcijas ir atsakomybes.</w:t>
      </w:r>
      <w:r w:rsidR="005236A3" w:rsidRPr="00040E5F">
        <w:rPr>
          <w:rFonts w:ascii="Times New Roman" w:hAnsi="Times New Roman" w:cs="Times New Roman"/>
          <w:sz w:val="24"/>
          <w:szCs w:val="24"/>
          <w:lang w:val="lt-LT"/>
        </w:rPr>
        <w:t xml:space="preserve"> </w:t>
      </w:r>
      <w:r w:rsidRPr="00040E5F">
        <w:rPr>
          <w:rFonts w:ascii="Times New Roman" w:hAnsi="Times New Roman" w:cs="Times New Roman"/>
          <w:sz w:val="24"/>
          <w:szCs w:val="24"/>
          <w:lang w:val="lt-LT"/>
        </w:rPr>
        <w:t>Vertinimas turi būti pateikiamas apibendrintai – su išvadomis ir rekomendacijomis, orientuotomis į sistemines tendencijas, o ne pavienių įstaigų lygmenį</w:t>
      </w:r>
      <w:r w:rsidRPr="00AD3318">
        <w:rPr>
          <w:rFonts w:ascii="Times New Roman" w:hAnsi="Times New Roman" w:cs="Times New Roman"/>
          <w:sz w:val="24"/>
          <w:szCs w:val="24"/>
          <w:lang w:val="lt-LT"/>
        </w:rPr>
        <w:t>.</w:t>
      </w:r>
      <w:r w:rsidR="005236A3" w:rsidRPr="00AD3318">
        <w:rPr>
          <w:rFonts w:ascii="Times New Roman" w:hAnsi="Times New Roman" w:cs="Times New Roman"/>
          <w:sz w:val="24"/>
          <w:szCs w:val="24"/>
          <w:lang w:val="lt-LT"/>
        </w:rPr>
        <w:t xml:space="preserve">  </w:t>
      </w:r>
      <w:r w:rsidRPr="00AD3318">
        <w:rPr>
          <w:rFonts w:ascii="Times New Roman" w:hAnsi="Times New Roman" w:cs="Times New Roman"/>
          <w:sz w:val="24"/>
          <w:szCs w:val="24"/>
          <w:lang w:val="lt-LT"/>
        </w:rPr>
        <w:t>Į apklausą turi būti įtraukti ne mažiau kaip 7 Sveikatos centrai.</w:t>
      </w:r>
      <w:r w:rsidR="005236A3" w:rsidRPr="00AD3318">
        <w:rPr>
          <w:rFonts w:ascii="Times New Roman" w:hAnsi="Times New Roman" w:cs="Times New Roman"/>
          <w:sz w:val="24"/>
          <w:szCs w:val="24"/>
          <w:lang w:val="lt-LT"/>
        </w:rPr>
        <w:t xml:space="preserve"> </w:t>
      </w:r>
      <w:r w:rsidR="00900BF7" w:rsidRPr="006773DD">
        <w:rPr>
          <w:rFonts w:ascii="Times New Roman" w:hAnsi="Times New Roman" w:cs="Times New Roman"/>
          <w:color w:val="EE0000"/>
          <w:sz w:val="24"/>
          <w:szCs w:val="24"/>
          <w:lang w:val="lt-LT"/>
        </w:rPr>
        <w:t xml:space="preserve">Apklausą </w:t>
      </w:r>
      <w:r w:rsidR="00896769" w:rsidRPr="006773DD">
        <w:rPr>
          <w:rFonts w:ascii="Times New Roman" w:hAnsi="Times New Roman" w:cs="Times New Roman"/>
          <w:color w:val="EE0000"/>
          <w:sz w:val="24"/>
          <w:szCs w:val="24"/>
          <w:lang w:val="lt-LT"/>
        </w:rPr>
        <w:t xml:space="preserve">teikėjas turi </w:t>
      </w:r>
      <w:r w:rsidR="00900BF7" w:rsidRPr="006773DD">
        <w:rPr>
          <w:rFonts w:ascii="Times New Roman" w:hAnsi="Times New Roman" w:cs="Times New Roman"/>
          <w:color w:val="EE0000"/>
          <w:sz w:val="24"/>
          <w:szCs w:val="24"/>
          <w:lang w:val="lt-LT"/>
        </w:rPr>
        <w:t>atlikti pagal įstaigų teikiamų paslaugų spektrą, įtraukiant didžiausias ASPĮ ir koordinuojančią įstaigą. Dalyvauti turi tik atrinktos pareigybės (vadovai, koordinatoriai, gydytojų komandų atstovai ir kt.).</w:t>
      </w:r>
      <w:r w:rsidR="00040E5F" w:rsidRPr="006773DD">
        <w:rPr>
          <w:rFonts w:ascii="Times New Roman" w:hAnsi="Times New Roman" w:cs="Times New Roman"/>
          <w:color w:val="EE0000"/>
          <w:sz w:val="24"/>
          <w:szCs w:val="24"/>
          <w:lang w:val="lt-LT"/>
        </w:rPr>
        <w:t xml:space="preserve"> </w:t>
      </w:r>
      <w:r w:rsidRPr="006773DD">
        <w:rPr>
          <w:rFonts w:ascii="Times New Roman" w:hAnsi="Times New Roman" w:cs="Times New Roman"/>
          <w:color w:val="EE0000"/>
          <w:sz w:val="24"/>
          <w:szCs w:val="24"/>
          <w:lang w:val="lt-LT"/>
        </w:rPr>
        <w:t>Apklausos formatas nėra reglamentuojamas – tiekėjas gali pasirinkti kiekybinį, kokybinį ar mišrų metodą, siekdamas kokybiškiausių ir reprezentatyviausių rezultatų.</w:t>
      </w:r>
      <w:r w:rsidR="005236A3" w:rsidRPr="006773DD">
        <w:rPr>
          <w:rFonts w:ascii="Times New Roman" w:hAnsi="Times New Roman" w:cs="Times New Roman"/>
          <w:color w:val="EE0000"/>
          <w:sz w:val="24"/>
          <w:szCs w:val="24"/>
          <w:lang w:val="lt-LT"/>
        </w:rPr>
        <w:t xml:space="preserve"> </w:t>
      </w:r>
    </w:p>
    <w:p w14:paraId="3B29DDE5" w14:textId="222CC85B" w:rsidR="00DD151A" w:rsidRPr="006773DD" w:rsidRDefault="00DD151A" w:rsidP="00AD3318">
      <w:pPr>
        <w:pStyle w:val="Sraassunumeriais"/>
        <w:spacing w:line="280" w:lineRule="atLeast"/>
        <w:jc w:val="both"/>
        <w:rPr>
          <w:rFonts w:ascii="Times New Roman" w:hAnsi="Times New Roman" w:cs="Times New Roman"/>
          <w:color w:val="EE0000"/>
          <w:sz w:val="24"/>
          <w:szCs w:val="24"/>
          <w:lang w:val="lt-LT"/>
        </w:rPr>
      </w:pPr>
      <w:r w:rsidRPr="00AA1A95">
        <w:rPr>
          <w:rFonts w:ascii="Times New Roman" w:hAnsi="Times New Roman" w:cs="Times New Roman"/>
          <w:sz w:val="24"/>
          <w:szCs w:val="24"/>
          <w:lang w:val="lt-LT"/>
        </w:rPr>
        <w:t>Sveikatos centrų veiklos rodiklių analizė – tinkamiausių rodiklių (įskaitant išvengiamos hospitalizacijos rodiklius) nustatymas, jų skaičiavimo metodikos parengimas bei naudotų duomenų šaltinių nurodymas.</w:t>
      </w:r>
      <w:r w:rsidR="006F2A79" w:rsidRPr="00AA1A95">
        <w:rPr>
          <w:rFonts w:ascii="Times New Roman" w:hAnsi="Times New Roman" w:cs="Times New Roman"/>
          <w:sz w:val="24"/>
          <w:szCs w:val="24"/>
          <w:lang w:val="lt-LT"/>
        </w:rPr>
        <w:t xml:space="preserve"> </w:t>
      </w:r>
      <w:r w:rsidRPr="006773DD">
        <w:rPr>
          <w:rFonts w:ascii="Times New Roman" w:hAnsi="Times New Roman" w:cs="Times New Roman"/>
          <w:color w:val="EE0000"/>
          <w:sz w:val="24"/>
          <w:szCs w:val="24"/>
          <w:lang w:val="lt-LT"/>
        </w:rPr>
        <w:t>Analizė turi būti atliekama remiantis nacionaliniu lygiu apibrėžtais rodikliais, siekiant užtikrinti jų palyginamumą ir praktinį taikymą visoje sistemoje.</w:t>
      </w:r>
    </w:p>
    <w:p w14:paraId="3A77AA21" w14:textId="227B0301" w:rsidR="00DD151A" w:rsidRPr="00AA1A95" w:rsidRDefault="00DD151A" w:rsidP="00BE339D">
      <w:pPr>
        <w:pStyle w:val="Sraassunumeriais"/>
        <w:spacing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 xml:space="preserve"> Vizualinės priemonės – procesų diagramos, struktūrinės schemos, pacientų srautų vizualizacijos, </w:t>
      </w:r>
      <w:proofErr w:type="spellStart"/>
      <w:r w:rsidRPr="00AA1A95">
        <w:rPr>
          <w:rFonts w:ascii="Times New Roman" w:hAnsi="Times New Roman" w:cs="Times New Roman"/>
          <w:sz w:val="24"/>
          <w:szCs w:val="24"/>
          <w:lang w:val="lt-LT"/>
        </w:rPr>
        <w:t>infografikai</w:t>
      </w:r>
      <w:proofErr w:type="spellEnd"/>
      <w:r w:rsidRPr="00AA1A95">
        <w:rPr>
          <w:rFonts w:ascii="Times New Roman" w:hAnsi="Times New Roman" w:cs="Times New Roman"/>
          <w:sz w:val="24"/>
          <w:szCs w:val="24"/>
          <w:lang w:val="lt-LT"/>
        </w:rPr>
        <w:t xml:space="preserve"> ir kiti aiškūs pateikimo formatai.</w:t>
      </w:r>
    </w:p>
    <w:p w14:paraId="70323A59" w14:textId="64E3D055" w:rsidR="003775A1" w:rsidRPr="00AA1A95" w:rsidRDefault="003775A1" w:rsidP="0082334C">
      <w:pPr>
        <w:pStyle w:val="Antrat3"/>
        <w:spacing w:before="0" w:after="200" w:line="280" w:lineRule="atLeast"/>
        <w:rPr>
          <w:rFonts w:ascii="Times New Roman" w:hAnsi="Times New Roman" w:cs="Times New Roman"/>
          <w:color w:val="auto"/>
          <w:sz w:val="24"/>
          <w:szCs w:val="24"/>
          <w:lang w:val="lt-LT"/>
        </w:rPr>
      </w:pPr>
      <w:r w:rsidRPr="00AA1A95">
        <w:rPr>
          <w:rFonts w:ascii="Times New Roman" w:hAnsi="Times New Roman" w:cs="Times New Roman"/>
          <w:color w:val="auto"/>
          <w:sz w:val="24"/>
          <w:szCs w:val="24"/>
          <w:lang w:val="lt-LT"/>
        </w:rPr>
        <w:t xml:space="preserve">4. </w:t>
      </w:r>
      <w:r w:rsidR="00BD4B58">
        <w:rPr>
          <w:rFonts w:ascii="Times New Roman" w:hAnsi="Times New Roman" w:cs="Times New Roman"/>
          <w:color w:val="auto"/>
          <w:sz w:val="24"/>
          <w:szCs w:val="24"/>
          <w:lang w:val="lt-LT"/>
        </w:rPr>
        <w:t>Paslaugų suteikimo</w:t>
      </w:r>
      <w:r w:rsidRPr="00AA1A95">
        <w:rPr>
          <w:rFonts w:ascii="Times New Roman" w:hAnsi="Times New Roman" w:cs="Times New Roman"/>
          <w:color w:val="auto"/>
          <w:sz w:val="24"/>
          <w:szCs w:val="24"/>
          <w:lang w:val="lt-LT"/>
        </w:rPr>
        <w:t xml:space="preserve"> terminas</w:t>
      </w:r>
    </w:p>
    <w:p w14:paraId="6A26B182" w14:textId="635FFDE3" w:rsidR="003775A1" w:rsidRPr="000F3BED" w:rsidRDefault="000F3BED" w:rsidP="0082334C">
      <w:pPr>
        <w:pStyle w:val="Sraassunumeriais"/>
        <w:spacing w:line="280" w:lineRule="atLeast"/>
        <w:jc w:val="both"/>
        <w:rPr>
          <w:rFonts w:ascii="Times New Roman" w:hAnsi="Times New Roman" w:cs="Times New Roman"/>
          <w:sz w:val="24"/>
          <w:szCs w:val="24"/>
          <w:lang w:val="lt-LT"/>
        </w:rPr>
      </w:pPr>
      <w:r w:rsidRPr="000F3BED">
        <w:rPr>
          <w:rFonts w:ascii="Times New Roman" w:hAnsi="Times New Roman" w:cs="Times New Roman"/>
          <w:sz w:val="24"/>
          <w:szCs w:val="24"/>
          <w:lang w:val="lt-LT"/>
        </w:rPr>
        <w:t>Paslaugos turi būti suteiktos ne vėliau kaip per 7 mėnesius nuo sutarties pasirašymo dienos</w:t>
      </w:r>
    </w:p>
    <w:p w14:paraId="5D24E3F4" w14:textId="1C419313" w:rsidR="0082334C" w:rsidRPr="00AA1A95" w:rsidRDefault="000F3BED" w:rsidP="0082334C">
      <w:pPr>
        <w:pStyle w:val="Antrat3"/>
        <w:spacing w:before="0" w:after="200" w:line="280" w:lineRule="atLeast"/>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5</w:t>
      </w:r>
      <w:r w:rsidR="003775A1" w:rsidRPr="00AA1A95">
        <w:rPr>
          <w:rFonts w:ascii="Times New Roman" w:hAnsi="Times New Roman" w:cs="Times New Roman"/>
          <w:color w:val="auto"/>
          <w:sz w:val="24"/>
          <w:szCs w:val="24"/>
          <w:lang w:val="lt-LT"/>
        </w:rPr>
        <w:t>. Kiti reikalavimai</w:t>
      </w:r>
    </w:p>
    <w:p w14:paraId="29B3EF2D" w14:textId="2B76A46E" w:rsidR="000C2C9E" w:rsidRPr="00AA1A95" w:rsidRDefault="003775A1" w:rsidP="00341C98">
      <w:pPr>
        <w:pStyle w:val="Sraassunumeriais"/>
        <w:spacing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Laikytis Europos Sąjungos ir Lietuvos Respublikos teisės aktų.</w:t>
      </w:r>
    </w:p>
    <w:p w14:paraId="07378777" w14:textId="75922218" w:rsidR="000C2C9E" w:rsidRPr="00AA1A95" w:rsidRDefault="003775A1" w:rsidP="00341C98">
      <w:pPr>
        <w:pStyle w:val="Sraassunumeriais"/>
        <w:spacing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 xml:space="preserve">Užtikrinti prieinamumą, </w:t>
      </w:r>
      <w:proofErr w:type="spellStart"/>
      <w:r w:rsidRPr="00AA1A95">
        <w:rPr>
          <w:rFonts w:ascii="Times New Roman" w:hAnsi="Times New Roman" w:cs="Times New Roman"/>
          <w:sz w:val="24"/>
          <w:szCs w:val="24"/>
          <w:lang w:val="lt-LT"/>
        </w:rPr>
        <w:t>įtrauktį</w:t>
      </w:r>
      <w:proofErr w:type="spellEnd"/>
      <w:r w:rsidRPr="00AA1A95">
        <w:rPr>
          <w:rFonts w:ascii="Times New Roman" w:hAnsi="Times New Roman" w:cs="Times New Roman"/>
          <w:sz w:val="24"/>
          <w:szCs w:val="24"/>
          <w:lang w:val="lt-LT"/>
        </w:rPr>
        <w:t>, nediskriminavimą ir duomenų apsaugą.</w:t>
      </w:r>
    </w:p>
    <w:p w14:paraId="1A574C8E" w14:textId="119A01C6" w:rsidR="003775A1" w:rsidRPr="00AA1A95" w:rsidRDefault="00A82565" w:rsidP="00341C98">
      <w:pPr>
        <w:pStyle w:val="Sraassunumeriais"/>
        <w:spacing w:line="280" w:lineRule="atLeast"/>
        <w:jc w:val="both"/>
        <w:rPr>
          <w:rFonts w:ascii="Times New Roman" w:hAnsi="Times New Roman" w:cs="Times New Roman"/>
          <w:sz w:val="24"/>
          <w:szCs w:val="24"/>
          <w:lang w:val="lt-LT"/>
        </w:rPr>
      </w:pPr>
      <w:r w:rsidRPr="00AA1A95">
        <w:rPr>
          <w:rFonts w:ascii="Times New Roman" w:hAnsi="Times New Roman" w:cs="Times New Roman"/>
          <w:sz w:val="24"/>
          <w:szCs w:val="24"/>
          <w:lang w:val="lt-LT"/>
        </w:rPr>
        <w:t>Visuose parengtuose dokumentuose turi būti naudojamas 2021–2027 m. finansinio laikotarpio viešinimo ženklas – ES emblema su tinkamu finansavimo teiginiu</w:t>
      </w:r>
      <w:r w:rsidR="00F73E7E" w:rsidRPr="00AA1A95">
        <w:rPr>
          <w:rFonts w:ascii="Times New Roman" w:hAnsi="Times New Roman" w:cs="Times New Roman"/>
          <w:sz w:val="24"/>
          <w:szCs w:val="24"/>
          <w:lang w:val="lt-LT"/>
        </w:rPr>
        <w:t xml:space="preserve"> (i</w:t>
      </w:r>
      <w:r w:rsidRPr="00AA1A95">
        <w:rPr>
          <w:rFonts w:ascii="Times New Roman" w:hAnsi="Times New Roman" w:cs="Times New Roman"/>
          <w:sz w:val="24"/>
          <w:szCs w:val="24"/>
          <w:lang w:val="lt-LT"/>
        </w:rPr>
        <w:t>nformacij</w:t>
      </w:r>
      <w:r w:rsidR="00F73E7E" w:rsidRPr="00AA1A95">
        <w:rPr>
          <w:rFonts w:ascii="Times New Roman" w:hAnsi="Times New Roman" w:cs="Times New Roman"/>
          <w:sz w:val="24"/>
          <w:szCs w:val="24"/>
          <w:lang w:val="lt-LT"/>
        </w:rPr>
        <w:t>a</w:t>
      </w:r>
      <w:r w:rsidRPr="00AA1A95">
        <w:rPr>
          <w:rFonts w:ascii="Times New Roman" w:hAnsi="Times New Roman" w:cs="Times New Roman"/>
          <w:sz w:val="24"/>
          <w:szCs w:val="24"/>
          <w:lang w:val="lt-LT"/>
        </w:rPr>
        <w:t xml:space="preserve"> apie ES emblemos naudojimo tvarką, tinkamus teiginius ir kitus reikalavimus </w:t>
      </w:r>
      <w:r w:rsidR="0082334C" w:rsidRPr="00AA1A95">
        <w:rPr>
          <w:rFonts w:ascii="Times New Roman" w:hAnsi="Times New Roman" w:cs="Times New Roman"/>
          <w:sz w:val="24"/>
          <w:szCs w:val="24"/>
          <w:lang w:val="lt-LT"/>
        </w:rPr>
        <w:t xml:space="preserve">pateikta </w:t>
      </w:r>
      <w:r w:rsidRPr="00AA1A95">
        <w:rPr>
          <w:rFonts w:ascii="Times New Roman" w:hAnsi="Times New Roman" w:cs="Times New Roman"/>
          <w:sz w:val="24"/>
          <w:szCs w:val="24"/>
          <w:lang w:val="lt-LT"/>
        </w:rPr>
        <w:t xml:space="preserve"> ES investicijų svetainėje </w:t>
      </w:r>
      <w:proofErr w:type="spellStart"/>
      <w:r w:rsidRPr="00AA1A95">
        <w:rPr>
          <w:rFonts w:ascii="Times New Roman" w:hAnsi="Times New Roman" w:cs="Times New Roman"/>
          <w:sz w:val="24"/>
          <w:szCs w:val="24"/>
          <w:lang w:val="lt-LT"/>
        </w:rPr>
        <w:t>esinvesticijos.lt</w:t>
      </w:r>
      <w:proofErr w:type="spellEnd"/>
      <w:r w:rsidRPr="00AA1A95">
        <w:rPr>
          <w:rFonts w:ascii="Times New Roman" w:hAnsi="Times New Roman" w:cs="Times New Roman"/>
          <w:sz w:val="24"/>
          <w:szCs w:val="24"/>
          <w:lang w:val="lt-LT"/>
        </w:rPr>
        <w:t xml:space="preserve"> skiltyje „Viešinimas“</w:t>
      </w:r>
      <w:r w:rsidR="00F73E7E" w:rsidRPr="00AA1A95">
        <w:rPr>
          <w:rFonts w:ascii="Times New Roman" w:hAnsi="Times New Roman" w:cs="Times New Roman"/>
          <w:sz w:val="24"/>
          <w:szCs w:val="24"/>
          <w:lang w:val="lt-LT"/>
        </w:rPr>
        <w:t>).</w:t>
      </w:r>
    </w:p>
    <w:p w14:paraId="6CD9B76C" w14:textId="77777777" w:rsidR="00A82565" w:rsidRDefault="00A82565" w:rsidP="000C2C9E">
      <w:pPr>
        <w:pStyle w:val="Sraassunumeriais"/>
        <w:numPr>
          <w:ilvl w:val="0"/>
          <w:numId w:val="0"/>
        </w:numPr>
        <w:spacing w:line="280" w:lineRule="atLeast"/>
        <w:rPr>
          <w:rFonts w:ascii="Times New Roman" w:hAnsi="Times New Roman" w:cs="Times New Roman"/>
          <w:sz w:val="24"/>
          <w:szCs w:val="24"/>
          <w:lang w:val="lt-LT"/>
        </w:rPr>
      </w:pPr>
    </w:p>
    <w:p w14:paraId="2C359677" w14:textId="77777777" w:rsidR="005B2D27" w:rsidRPr="009E4A09" w:rsidRDefault="005B2D27" w:rsidP="000C2C9E">
      <w:pPr>
        <w:pStyle w:val="Sraassunumeriais"/>
        <w:numPr>
          <w:ilvl w:val="0"/>
          <w:numId w:val="0"/>
        </w:numPr>
        <w:spacing w:line="280" w:lineRule="atLeast"/>
        <w:rPr>
          <w:rFonts w:ascii="Times New Roman" w:hAnsi="Times New Roman" w:cs="Times New Roman"/>
          <w:b/>
          <w:bCs/>
          <w:i/>
          <w:iCs/>
          <w:sz w:val="24"/>
          <w:szCs w:val="24"/>
          <w:lang w:val="lt-LT"/>
        </w:rPr>
      </w:pPr>
    </w:p>
    <w:p w14:paraId="2E541303" w14:textId="7DB91BA2" w:rsidR="005B2D27" w:rsidRPr="009E4A09" w:rsidRDefault="005B2D27" w:rsidP="000C2C9E">
      <w:pPr>
        <w:pStyle w:val="Sraassunumeriais"/>
        <w:numPr>
          <w:ilvl w:val="0"/>
          <w:numId w:val="0"/>
        </w:numPr>
        <w:spacing w:line="280" w:lineRule="atLeast"/>
        <w:rPr>
          <w:rFonts w:ascii="Times New Roman" w:hAnsi="Times New Roman" w:cs="Times New Roman"/>
          <w:b/>
          <w:bCs/>
          <w:i/>
          <w:iCs/>
          <w:sz w:val="24"/>
          <w:szCs w:val="24"/>
          <w:lang w:val="lt-LT"/>
        </w:rPr>
      </w:pPr>
      <w:r w:rsidRPr="009E4A09">
        <w:rPr>
          <w:rFonts w:ascii="Times New Roman" w:hAnsi="Times New Roman" w:cs="Times New Roman"/>
          <w:b/>
          <w:bCs/>
          <w:i/>
          <w:iCs/>
          <w:sz w:val="24"/>
          <w:szCs w:val="24"/>
          <w:lang w:val="lt-LT"/>
        </w:rPr>
        <w:t xml:space="preserve">Pastaba. </w:t>
      </w:r>
      <w:r w:rsidR="009E4A09" w:rsidRPr="009E4A09">
        <w:rPr>
          <w:rFonts w:ascii="Times New Roman" w:hAnsi="Times New Roman" w:cs="Times New Roman"/>
          <w:b/>
          <w:bCs/>
          <w:i/>
          <w:iCs/>
          <w:sz w:val="24"/>
          <w:szCs w:val="24"/>
          <w:lang w:val="lt-LT"/>
        </w:rPr>
        <w:t xml:space="preserve">Atlikti techninės specifikacijos pakeitimai pažymėti raudona spalva. </w:t>
      </w:r>
    </w:p>
    <w:p w14:paraId="061F180B" w14:textId="32854CB6" w:rsidR="00A82565" w:rsidRPr="00AA1A95" w:rsidRDefault="00A82565" w:rsidP="00A82565">
      <w:pPr>
        <w:pStyle w:val="Sraassunumeriais"/>
        <w:numPr>
          <w:ilvl w:val="0"/>
          <w:numId w:val="0"/>
        </w:numPr>
        <w:spacing w:line="280" w:lineRule="atLeast"/>
        <w:jc w:val="center"/>
        <w:rPr>
          <w:rFonts w:ascii="Times New Roman" w:hAnsi="Times New Roman" w:cs="Times New Roman"/>
          <w:sz w:val="24"/>
          <w:szCs w:val="24"/>
          <w:u w:val="single"/>
          <w:lang w:val="lt-LT"/>
        </w:rPr>
      </w:pPr>
      <w:r w:rsidRPr="00AA1A95">
        <w:rPr>
          <w:rFonts w:ascii="Times New Roman" w:hAnsi="Times New Roman" w:cs="Times New Roman"/>
          <w:sz w:val="24"/>
          <w:szCs w:val="24"/>
          <w:u w:val="single"/>
          <w:lang w:val="lt-LT"/>
        </w:rPr>
        <w:tab/>
      </w:r>
      <w:r w:rsidRPr="00AA1A95">
        <w:rPr>
          <w:rFonts w:ascii="Times New Roman" w:hAnsi="Times New Roman" w:cs="Times New Roman"/>
          <w:sz w:val="24"/>
          <w:szCs w:val="24"/>
          <w:u w:val="single"/>
          <w:lang w:val="lt-LT"/>
        </w:rPr>
        <w:tab/>
      </w:r>
      <w:r w:rsidRPr="00AA1A95">
        <w:rPr>
          <w:rFonts w:ascii="Times New Roman" w:hAnsi="Times New Roman" w:cs="Times New Roman"/>
          <w:sz w:val="24"/>
          <w:szCs w:val="24"/>
          <w:u w:val="single"/>
          <w:lang w:val="lt-LT"/>
        </w:rPr>
        <w:tab/>
      </w:r>
      <w:r w:rsidRPr="00AA1A95">
        <w:rPr>
          <w:rFonts w:ascii="Times New Roman" w:hAnsi="Times New Roman" w:cs="Times New Roman"/>
          <w:sz w:val="24"/>
          <w:szCs w:val="24"/>
          <w:u w:val="single"/>
          <w:lang w:val="lt-LT"/>
        </w:rPr>
        <w:tab/>
      </w:r>
      <w:r w:rsidRPr="00AA1A95">
        <w:rPr>
          <w:rFonts w:ascii="Times New Roman" w:hAnsi="Times New Roman" w:cs="Times New Roman"/>
          <w:sz w:val="24"/>
          <w:szCs w:val="24"/>
          <w:u w:val="single"/>
          <w:lang w:val="lt-LT"/>
        </w:rPr>
        <w:tab/>
      </w:r>
    </w:p>
    <w:p w14:paraId="4F8C5092" w14:textId="77777777" w:rsidR="005F7E8F" w:rsidRPr="00BB4C99" w:rsidRDefault="005F7E8F" w:rsidP="00A82565">
      <w:pPr>
        <w:pStyle w:val="Sraassunumeriais"/>
        <w:numPr>
          <w:ilvl w:val="0"/>
          <w:numId w:val="0"/>
        </w:numPr>
        <w:spacing w:line="280" w:lineRule="atLeast"/>
        <w:jc w:val="center"/>
        <w:rPr>
          <w:rFonts w:ascii="Times New Roman" w:hAnsi="Times New Roman" w:cs="Times New Roman"/>
          <w:sz w:val="24"/>
          <w:szCs w:val="24"/>
          <w:u w:val="single"/>
          <w:lang w:val="lt-LT"/>
        </w:rPr>
      </w:pPr>
    </w:p>
    <w:sectPr w:rsidR="005F7E8F" w:rsidRPr="00BB4C99" w:rsidSect="00D30526">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3A12114A"/>
    <w:lvl w:ilvl="0">
      <w:start w:val="1"/>
      <w:numFmt w:val="decimal"/>
      <w:pStyle w:val="Sraassunumeriai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6" w15:restartNumberingAfterBreak="0">
    <w:nsid w:val="53F812EE"/>
    <w:multiLevelType w:val="hybridMultilevel"/>
    <w:tmpl w:val="EF8A222E"/>
    <w:lvl w:ilvl="0" w:tplc="7D8625DE">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E153117"/>
    <w:multiLevelType w:val="multilevel"/>
    <w:tmpl w:val="F62A6684"/>
    <w:lvl w:ilvl="0">
      <w:start w:val="17"/>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85724799">
    <w:abstractNumId w:val="5"/>
  </w:num>
  <w:num w:numId="2" w16cid:durableId="1853183264">
    <w:abstractNumId w:val="3"/>
  </w:num>
  <w:num w:numId="3" w16cid:durableId="773402797">
    <w:abstractNumId w:val="2"/>
  </w:num>
  <w:num w:numId="4" w16cid:durableId="960645938">
    <w:abstractNumId w:val="4"/>
  </w:num>
  <w:num w:numId="5" w16cid:durableId="201789522">
    <w:abstractNumId w:val="1"/>
  </w:num>
  <w:num w:numId="6" w16cid:durableId="555092424">
    <w:abstractNumId w:val="0"/>
  </w:num>
  <w:num w:numId="7" w16cid:durableId="1280575696">
    <w:abstractNumId w:val="6"/>
  </w:num>
  <w:num w:numId="8" w16cid:durableId="662011665">
    <w:abstractNumId w:val="7"/>
  </w:num>
  <w:num w:numId="9" w16cid:durableId="737745831">
    <w:abstractNumId w:val="4"/>
  </w:num>
  <w:num w:numId="10" w16cid:durableId="1115757538">
    <w:abstractNumId w:val="4"/>
  </w:num>
  <w:num w:numId="11" w16cid:durableId="1843818487">
    <w:abstractNumId w:val="4"/>
  </w:num>
  <w:num w:numId="12" w16cid:durableId="2041009142">
    <w:abstractNumId w:val="4"/>
  </w:num>
  <w:num w:numId="13" w16cid:durableId="2026469393">
    <w:abstractNumId w:val="4"/>
  </w:num>
  <w:num w:numId="14" w16cid:durableId="686373408">
    <w:abstractNumId w:val="4"/>
  </w:num>
  <w:num w:numId="15" w16cid:durableId="1326204380">
    <w:abstractNumId w:val="4"/>
  </w:num>
  <w:num w:numId="16" w16cid:durableId="1813670665">
    <w:abstractNumId w:val="4"/>
  </w:num>
  <w:num w:numId="17" w16cid:durableId="111480218">
    <w:abstractNumId w:val="4"/>
  </w:num>
  <w:num w:numId="18" w16cid:durableId="1814636167">
    <w:abstractNumId w:val="4"/>
  </w:num>
  <w:num w:numId="19" w16cid:durableId="597564515">
    <w:abstractNumId w:val="4"/>
  </w:num>
  <w:num w:numId="20" w16cid:durableId="400371710">
    <w:abstractNumId w:val="4"/>
  </w:num>
  <w:num w:numId="21" w16cid:durableId="828449705">
    <w:abstractNumId w:val="4"/>
  </w:num>
  <w:num w:numId="22" w16cid:durableId="1826167846">
    <w:abstractNumId w:val="4"/>
  </w:num>
  <w:num w:numId="23" w16cid:durableId="680207142">
    <w:abstractNumId w:val="4"/>
  </w:num>
  <w:num w:numId="24" w16cid:durableId="65021498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88"/>
    <w:rsid w:val="00004754"/>
    <w:rsid w:val="00017D9B"/>
    <w:rsid w:val="000337E2"/>
    <w:rsid w:val="00034616"/>
    <w:rsid w:val="00040E5F"/>
    <w:rsid w:val="000420C3"/>
    <w:rsid w:val="00047A42"/>
    <w:rsid w:val="00052D1C"/>
    <w:rsid w:val="000538B6"/>
    <w:rsid w:val="0006063C"/>
    <w:rsid w:val="000977F3"/>
    <w:rsid w:val="000A044E"/>
    <w:rsid w:val="000C1A47"/>
    <w:rsid w:val="000C2512"/>
    <w:rsid w:val="000C2C9E"/>
    <w:rsid w:val="000C374C"/>
    <w:rsid w:val="000C6652"/>
    <w:rsid w:val="000F3BED"/>
    <w:rsid w:val="000F58D4"/>
    <w:rsid w:val="0010017E"/>
    <w:rsid w:val="001031A4"/>
    <w:rsid w:val="00127C89"/>
    <w:rsid w:val="00137DB8"/>
    <w:rsid w:val="00142386"/>
    <w:rsid w:val="001446CF"/>
    <w:rsid w:val="0015074B"/>
    <w:rsid w:val="001552AC"/>
    <w:rsid w:val="00185378"/>
    <w:rsid w:val="00191318"/>
    <w:rsid w:val="001A0540"/>
    <w:rsid w:val="001B2E04"/>
    <w:rsid w:val="001C1B07"/>
    <w:rsid w:val="001D11CF"/>
    <w:rsid w:val="001D5DD0"/>
    <w:rsid w:val="001E309E"/>
    <w:rsid w:val="001F3D0F"/>
    <w:rsid w:val="00221119"/>
    <w:rsid w:val="00227E9C"/>
    <w:rsid w:val="00231FEB"/>
    <w:rsid w:val="00237F7B"/>
    <w:rsid w:val="0024349F"/>
    <w:rsid w:val="0024549E"/>
    <w:rsid w:val="00282B91"/>
    <w:rsid w:val="0029165F"/>
    <w:rsid w:val="0029639D"/>
    <w:rsid w:val="002B1FC9"/>
    <w:rsid w:val="002B6497"/>
    <w:rsid w:val="00311E0E"/>
    <w:rsid w:val="0031784B"/>
    <w:rsid w:val="0032349A"/>
    <w:rsid w:val="00326F90"/>
    <w:rsid w:val="00333737"/>
    <w:rsid w:val="00341C98"/>
    <w:rsid w:val="00345702"/>
    <w:rsid w:val="00351057"/>
    <w:rsid w:val="00356326"/>
    <w:rsid w:val="003775A1"/>
    <w:rsid w:val="0039177B"/>
    <w:rsid w:val="0039420C"/>
    <w:rsid w:val="003C0421"/>
    <w:rsid w:val="00435F4B"/>
    <w:rsid w:val="00450C02"/>
    <w:rsid w:val="00462183"/>
    <w:rsid w:val="004A2408"/>
    <w:rsid w:val="004B7886"/>
    <w:rsid w:val="004C10A5"/>
    <w:rsid w:val="004D3FEA"/>
    <w:rsid w:val="004E332D"/>
    <w:rsid w:val="004E6181"/>
    <w:rsid w:val="004F039F"/>
    <w:rsid w:val="005236A3"/>
    <w:rsid w:val="00563CC2"/>
    <w:rsid w:val="00565E70"/>
    <w:rsid w:val="005661C8"/>
    <w:rsid w:val="005907BD"/>
    <w:rsid w:val="00590AE5"/>
    <w:rsid w:val="005A52DF"/>
    <w:rsid w:val="005A7D78"/>
    <w:rsid w:val="005B2D27"/>
    <w:rsid w:val="005B6BB8"/>
    <w:rsid w:val="005C6251"/>
    <w:rsid w:val="005D12D4"/>
    <w:rsid w:val="005D71DF"/>
    <w:rsid w:val="005F6F76"/>
    <w:rsid w:val="005F7E8F"/>
    <w:rsid w:val="00604B0C"/>
    <w:rsid w:val="00606D8E"/>
    <w:rsid w:val="00616081"/>
    <w:rsid w:val="006237F3"/>
    <w:rsid w:val="006447C6"/>
    <w:rsid w:val="00653DA8"/>
    <w:rsid w:val="006773DD"/>
    <w:rsid w:val="00677EA5"/>
    <w:rsid w:val="0068278A"/>
    <w:rsid w:val="00695309"/>
    <w:rsid w:val="00695972"/>
    <w:rsid w:val="006B190F"/>
    <w:rsid w:val="006C7EB5"/>
    <w:rsid w:val="006D38DB"/>
    <w:rsid w:val="006D3BB2"/>
    <w:rsid w:val="006F1F5E"/>
    <w:rsid w:val="006F2A79"/>
    <w:rsid w:val="006F7ECE"/>
    <w:rsid w:val="0071013A"/>
    <w:rsid w:val="00720E93"/>
    <w:rsid w:val="007B1917"/>
    <w:rsid w:val="007B6A1B"/>
    <w:rsid w:val="007B70EC"/>
    <w:rsid w:val="00802D93"/>
    <w:rsid w:val="0080403F"/>
    <w:rsid w:val="008051D7"/>
    <w:rsid w:val="00815209"/>
    <w:rsid w:val="00816F9C"/>
    <w:rsid w:val="008230B4"/>
    <w:rsid w:val="0082334C"/>
    <w:rsid w:val="008269DA"/>
    <w:rsid w:val="00836459"/>
    <w:rsid w:val="008377BB"/>
    <w:rsid w:val="0086307A"/>
    <w:rsid w:val="008656B0"/>
    <w:rsid w:val="008718F8"/>
    <w:rsid w:val="008747AB"/>
    <w:rsid w:val="00877C86"/>
    <w:rsid w:val="00886EC7"/>
    <w:rsid w:val="008932DA"/>
    <w:rsid w:val="008942B8"/>
    <w:rsid w:val="00894E41"/>
    <w:rsid w:val="00895C42"/>
    <w:rsid w:val="00896769"/>
    <w:rsid w:val="008D78F2"/>
    <w:rsid w:val="008E264A"/>
    <w:rsid w:val="008E5DA9"/>
    <w:rsid w:val="00900BF7"/>
    <w:rsid w:val="00910A2D"/>
    <w:rsid w:val="00937BC8"/>
    <w:rsid w:val="00941642"/>
    <w:rsid w:val="00942B12"/>
    <w:rsid w:val="009A67B9"/>
    <w:rsid w:val="009A78A8"/>
    <w:rsid w:val="009B31C0"/>
    <w:rsid w:val="009C4703"/>
    <w:rsid w:val="009C60FB"/>
    <w:rsid w:val="009C7F17"/>
    <w:rsid w:val="009D697F"/>
    <w:rsid w:val="009E4A09"/>
    <w:rsid w:val="00A11153"/>
    <w:rsid w:val="00A23283"/>
    <w:rsid w:val="00A30EA7"/>
    <w:rsid w:val="00A461BF"/>
    <w:rsid w:val="00A53761"/>
    <w:rsid w:val="00A60919"/>
    <w:rsid w:val="00A734F3"/>
    <w:rsid w:val="00A76737"/>
    <w:rsid w:val="00A82565"/>
    <w:rsid w:val="00A82E65"/>
    <w:rsid w:val="00A83C07"/>
    <w:rsid w:val="00A9683D"/>
    <w:rsid w:val="00AA1A95"/>
    <w:rsid w:val="00AA1D8D"/>
    <w:rsid w:val="00AA2A89"/>
    <w:rsid w:val="00AC4A67"/>
    <w:rsid w:val="00AD3318"/>
    <w:rsid w:val="00AD4297"/>
    <w:rsid w:val="00AF36D0"/>
    <w:rsid w:val="00B00E08"/>
    <w:rsid w:val="00B05284"/>
    <w:rsid w:val="00B47730"/>
    <w:rsid w:val="00B47AA9"/>
    <w:rsid w:val="00B94074"/>
    <w:rsid w:val="00BA0AE2"/>
    <w:rsid w:val="00BB0499"/>
    <w:rsid w:val="00BB0814"/>
    <w:rsid w:val="00BB4C99"/>
    <w:rsid w:val="00BD4B58"/>
    <w:rsid w:val="00BD621E"/>
    <w:rsid w:val="00BE339D"/>
    <w:rsid w:val="00BE4946"/>
    <w:rsid w:val="00C14BE7"/>
    <w:rsid w:val="00C16599"/>
    <w:rsid w:val="00C2128F"/>
    <w:rsid w:val="00C258B1"/>
    <w:rsid w:val="00C2709A"/>
    <w:rsid w:val="00C62E0E"/>
    <w:rsid w:val="00C92D85"/>
    <w:rsid w:val="00CA504D"/>
    <w:rsid w:val="00CB0664"/>
    <w:rsid w:val="00CB332D"/>
    <w:rsid w:val="00CB6649"/>
    <w:rsid w:val="00D157B4"/>
    <w:rsid w:val="00D30526"/>
    <w:rsid w:val="00D30FA0"/>
    <w:rsid w:val="00D67266"/>
    <w:rsid w:val="00D972DF"/>
    <w:rsid w:val="00DA12C7"/>
    <w:rsid w:val="00DB2065"/>
    <w:rsid w:val="00DD151A"/>
    <w:rsid w:val="00DD16E2"/>
    <w:rsid w:val="00DF004C"/>
    <w:rsid w:val="00DF7432"/>
    <w:rsid w:val="00E0127E"/>
    <w:rsid w:val="00E262CD"/>
    <w:rsid w:val="00E53BD1"/>
    <w:rsid w:val="00E612C0"/>
    <w:rsid w:val="00E73058"/>
    <w:rsid w:val="00E903A3"/>
    <w:rsid w:val="00EA7253"/>
    <w:rsid w:val="00EA7A7A"/>
    <w:rsid w:val="00ED04DC"/>
    <w:rsid w:val="00EE43D0"/>
    <w:rsid w:val="00EF3C1F"/>
    <w:rsid w:val="00F0485B"/>
    <w:rsid w:val="00F1085E"/>
    <w:rsid w:val="00F53460"/>
    <w:rsid w:val="00F56016"/>
    <w:rsid w:val="00F73E7E"/>
    <w:rsid w:val="00F77B99"/>
    <w:rsid w:val="00F82916"/>
    <w:rsid w:val="00F924FC"/>
    <w:rsid w:val="00FA5A0F"/>
    <w:rsid w:val="00FB097A"/>
    <w:rsid w:val="00FB726B"/>
    <w:rsid w:val="00FC693F"/>
    <w:rsid w:val="00FC7B14"/>
    <w:rsid w:val="00FF1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724835"/>
  <w14:defaultImageDpi w14:val="300"/>
  <w15:docId w15:val="{1A9792CD-E200-4B39-A6B2-E63C215D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4"/>
      </w:numPr>
      <w:contextualSpacing/>
    </w:pPr>
  </w:style>
  <w:style w:type="paragraph" w:styleId="Sraassunumeriais2">
    <w:name w:val="List Number 2"/>
    <w:basedOn w:val="prastasis"/>
    <w:uiPriority w:val="99"/>
    <w:unhideWhenUsed/>
    <w:rsid w:val="0029639D"/>
    <w:pPr>
      <w:numPr>
        <w:numId w:val="5"/>
      </w:numPr>
      <w:contextualSpacing/>
    </w:pPr>
  </w:style>
  <w:style w:type="paragraph" w:styleId="Sraassunumeriais3">
    <w:name w:val="List Number 3"/>
    <w:basedOn w:val="prastasis"/>
    <w:uiPriority w:val="99"/>
    <w:unhideWhenUsed/>
    <w:rsid w:val="0029639D"/>
    <w:pPr>
      <w:numPr>
        <w:numId w:val="6"/>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rastasiniatinklio">
    <w:name w:val="Normal (Web)"/>
    <w:basedOn w:val="prastasis"/>
    <w:uiPriority w:val="99"/>
    <w:semiHidden/>
    <w:unhideWhenUsed/>
    <w:rsid w:val="00DF004C"/>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10726</Words>
  <Characters>6115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Gediminas Širvinskas</cp:lastModifiedBy>
  <cp:revision>116</cp:revision>
  <dcterms:created xsi:type="dcterms:W3CDTF">2025-10-13T06:29:00Z</dcterms:created>
  <dcterms:modified xsi:type="dcterms:W3CDTF">2025-10-14T13:09:00Z</dcterms:modified>
  <cp:category/>
</cp:coreProperties>
</file>