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0D005" w14:textId="77777777" w:rsidR="0026062C" w:rsidRPr="00B05E02" w:rsidRDefault="0026062C">
      <w:pPr>
        <w:ind w:firstLine="0"/>
        <w:rPr>
          <w:rFonts w:ascii="Verdana" w:hAnsi="Verdana"/>
          <w:caps/>
          <w:sz w:val="20"/>
        </w:rPr>
      </w:pPr>
    </w:p>
    <w:p w14:paraId="1FC90D43" w14:textId="77777777" w:rsidR="0026062C" w:rsidRPr="00B05E02" w:rsidRDefault="0026062C">
      <w:pPr>
        <w:ind w:firstLine="0"/>
        <w:rPr>
          <w:rFonts w:ascii="Verdana" w:hAnsi="Verdana"/>
          <w:caps/>
          <w:sz w:val="20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A84BE7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524D6F22" w14:textId="77777777" w:rsidR="0026062C" w:rsidRDefault="00810140" w:rsidP="009A6563">
            <w:pPr>
              <w:ind w:firstLine="0"/>
              <w:rPr>
                <w:szCs w:val="24"/>
              </w:rPr>
            </w:pPr>
            <w:r w:rsidRPr="00A84BE7">
              <w:rPr>
                <w:szCs w:val="24"/>
              </w:rPr>
              <w:t>Tiekėjams</w:t>
            </w:r>
          </w:p>
          <w:p w14:paraId="3AA6EC4F" w14:textId="654CB104" w:rsidR="00170FDE" w:rsidRPr="00A84BE7" w:rsidRDefault="00170FDE" w:rsidP="009A656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Centrinės viešųjų pirkimų informacinės sistemos (toliau – CVP IS) priemonėmis</w:t>
            </w:r>
          </w:p>
        </w:tc>
        <w:tc>
          <w:tcPr>
            <w:tcW w:w="332" w:type="dxa"/>
          </w:tcPr>
          <w:p w14:paraId="30C47023" w14:textId="77777777" w:rsidR="0026062C" w:rsidRPr="00A84BE7" w:rsidRDefault="0026062C">
            <w:pPr>
              <w:ind w:firstLine="0"/>
              <w:rPr>
                <w:szCs w:val="24"/>
              </w:rPr>
            </w:pPr>
          </w:p>
        </w:tc>
        <w:tc>
          <w:tcPr>
            <w:tcW w:w="1398" w:type="dxa"/>
          </w:tcPr>
          <w:p w14:paraId="7B0EB598" w14:textId="77777777" w:rsidR="0026062C" w:rsidRPr="00A84BE7" w:rsidRDefault="0026062C" w:rsidP="00682402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97" w:type="dxa"/>
          </w:tcPr>
          <w:p w14:paraId="7E5981F9" w14:textId="77777777" w:rsidR="0026062C" w:rsidRPr="00A84BE7" w:rsidRDefault="0026062C" w:rsidP="00366287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2458" w:type="dxa"/>
          </w:tcPr>
          <w:p w14:paraId="4ADC341A" w14:textId="08ABF5B0" w:rsidR="0026062C" w:rsidRPr="00A84BE7" w:rsidRDefault="00170FDE" w:rsidP="0036628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2025 m. spalio 14 d.</w:t>
            </w:r>
          </w:p>
        </w:tc>
      </w:tr>
      <w:tr w:rsidR="0026062C" w:rsidRPr="00A84BE7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A84BE7" w:rsidRDefault="0026062C">
            <w:pPr>
              <w:ind w:firstLine="0"/>
              <w:rPr>
                <w:caps/>
                <w:szCs w:val="24"/>
              </w:rPr>
            </w:pPr>
          </w:p>
        </w:tc>
        <w:tc>
          <w:tcPr>
            <w:tcW w:w="332" w:type="dxa"/>
          </w:tcPr>
          <w:p w14:paraId="685A833A" w14:textId="27A4960E" w:rsidR="0026062C" w:rsidRPr="00A84BE7" w:rsidRDefault="0026062C">
            <w:pPr>
              <w:ind w:right="113" w:firstLine="0"/>
              <w:jc w:val="right"/>
              <w:rPr>
                <w:szCs w:val="24"/>
              </w:rPr>
            </w:pPr>
          </w:p>
        </w:tc>
        <w:tc>
          <w:tcPr>
            <w:tcW w:w="1398" w:type="dxa"/>
          </w:tcPr>
          <w:p w14:paraId="73693E9B" w14:textId="36771BEA" w:rsidR="0026062C" w:rsidRPr="00A84BE7" w:rsidRDefault="0026062C" w:rsidP="00366287">
            <w:pPr>
              <w:ind w:firstLine="0"/>
              <w:rPr>
                <w:szCs w:val="24"/>
              </w:rPr>
            </w:pPr>
          </w:p>
        </w:tc>
        <w:tc>
          <w:tcPr>
            <w:tcW w:w="397" w:type="dxa"/>
          </w:tcPr>
          <w:p w14:paraId="2793A7C9" w14:textId="7723E0E1" w:rsidR="0026062C" w:rsidRPr="00A84BE7" w:rsidRDefault="0026062C">
            <w:pPr>
              <w:ind w:left="-113" w:firstLine="0"/>
              <w:jc w:val="right"/>
              <w:rPr>
                <w:szCs w:val="24"/>
              </w:rPr>
            </w:pPr>
          </w:p>
        </w:tc>
        <w:tc>
          <w:tcPr>
            <w:tcW w:w="2458" w:type="dxa"/>
          </w:tcPr>
          <w:p w14:paraId="66989E03" w14:textId="0553B3C3" w:rsidR="0026062C" w:rsidRPr="00A84BE7" w:rsidRDefault="0026062C" w:rsidP="003E222C">
            <w:pPr>
              <w:ind w:firstLine="0"/>
              <w:rPr>
                <w:szCs w:val="24"/>
              </w:rPr>
            </w:pPr>
          </w:p>
        </w:tc>
      </w:tr>
      <w:tr w:rsidR="0026062C" w:rsidRPr="00A84BE7" w14:paraId="1D60D50D" w14:textId="77777777">
        <w:trPr>
          <w:cantSplit/>
        </w:trPr>
        <w:tc>
          <w:tcPr>
            <w:tcW w:w="4905" w:type="dxa"/>
          </w:tcPr>
          <w:p w14:paraId="743FDF14" w14:textId="719AEE5F" w:rsidR="0026062C" w:rsidRPr="00A84BE7" w:rsidRDefault="0026062C">
            <w:pPr>
              <w:ind w:firstLine="0"/>
              <w:rPr>
                <w:caps/>
                <w:szCs w:val="24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A84BE7" w:rsidRDefault="0026062C">
            <w:pPr>
              <w:ind w:firstLine="0"/>
              <w:rPr>
                <w:szCs w:val="24"/>
              </w:rPr>
            </w:pPr>
          </w:p>
        </w:tc>
      </w:tr>
      <w:tr w:rsidR="0026062C" w:rsidRPr="00A84BE7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2D019035" w:rsidR="0026062C" w:rsidRPr="00A84BE7" w:rsidRDefault="00017648">
            <w:pPr>
              <w:ind w:firstLine="0"/>
              <w:rPr>
                <w:b/>
                <w:caps/>
                <w:szCs w:val="24"/>
              </w:rPr>
            </w:pPr>
            <w:r w:rsidRPr="00A84BE7">
              <w:rPr>
                <w:b/>
                <w:caps/>
                <w:szCs w:val="24"/>
              </w:rPr>
              <w:t>dėl</w:t>
            </w:r>
            <w:r w:rsidR="007A0584" w:rsidRPr="00A84BE7">
              <w:rPr>
                <w:b/>
                <w:caps/>
                <w:szCs w:val="24"/>
              </w:rPr>
              <w:t xml:space="preserve"> </w:t>
            </w:r>
            <w:r w:rsidR="00B94077" w:rsidRPr="00A84BE7">
              <w:rPr>
                <w:b/>
                <w:caps/>
                <w:szCs w:val="24"/>
              </w:rPr>
              <w:t>p</w:t>
            </w:r>
            <w:r w:rsidR="00810140" w:rsidRPr="00A84BE7">
              <w:rPr>
                <w:b/>
                <w:caps/>
                <w:szCs w:val="24"/>
              </w:rPr>
              <w:t>irkimo nutraukimo</w:t>
            </w:r>
          </w:p>
        </w:tc>
      </w:tr>
    </w:tbl>
    <w:p w14:paraId="70C5BDC1" w14:textId="714D582F" w:rsidR="0026062C" w:rsidRPr="00A84BE7" w:rsidRDefault="0026062C" w:rsidP="00501DCF">
      <w:pPr>
        <w:ind w:firstLine="851"/>
        <w:jc w:val="both"/>
        <w:rPr>
          <w:szCs w:val="24"/>
        </w:rPr>
      </w:pPr>
    </w:p>
    <w:p w14:paraId="33604490" w14:textId="6CDAD193" w:rsidR="00B63A78" w:rsidRPr="00A84BE7" w:rsidRDefault="00170FDE" w:rsidP="00170FDE">
      <w:pPr>
        <w:suppressAutoHyphens/>
        <w:autoSpaceDN w:val="0"/>
        <w:ind w:firstLine="567"/>
        <w:jc w:val="both"/>
        <w:textAlignment w:val="baseline"/>
        <w:rPr>
          <w:szCs w:val="24"/>
        </w:rPr>
      </w:pPr>
      <w:r>
        <w:rPr>
          <w:color w:val="000000"/>
          <w:kern w:val="3"/>
          <w:szCs w:val="24"/>
          <w:lang w:eastAsia="lt-LT"/>
        </w:rPr>
        <w:t>Perkančioji organizacija</w:t>
      </w:r>
      <w:r w:rsidR="00164D11" w:rsidRPr="00A84BE7">
        <w:rPr>
          <w:color w:val="000000"/>
          <w:kern w:val="3"/>
          <w:szCs w:val="24"/>
          <w:lang w:eastAsia="lt-LT"/>
        </w:rPr>
        <w:t xml:space="preserve"> </w:t>
      </w:r>
      <w:r w:rsidR="00DC0F8C" w:rsidRPr="00A84BE7">
        <w:rPr>
          <w:color w:val="000000"/>
          <w:kern w:val="3"/>
          <w:szCs w:val="24"/>
          <w:lang w:eastAsia="lt-LT"/>
        </w:rPr>
        <w:t xml:space="preserve">informuoja, </w:t>
      </w:r>
      <w:r w:rsidR="004825A2" w:rsidRPr="00A84BE7">
        <w:rPr>
          <w:color w:val="000000"/>
          <w:kern w:val="3"/>
          <w:szCs w:val="24"/>
          <w:lang w:eastAsia="lt-LT"/>
        </w:rPr>
        <w:t xml:space="preserve">kad </w:t>
      </w:r>
      <w:r w:rsidR="004D459D" w:rsidRPr="00A84BE7">
        <w:rPr>
          <w:color w:val="000000"/>
          <w:kern w:val="3"/>
          <w:szCs w:val="24"/>
          <w:lang w:eastAsia="lt-LT"/>
        </w:rPr>
        <w:t>nuspręsta</w:t>
      </w:r>
      <w:r w:rsidR="00A94DB6" w:rsidRPr="00A84BE7">
        <w:rPr>
          <w:color w:val="000000"/>
          <w:kern w:val="3"/>
          <w:szCs w:val="24"/>
          <w:lang w:eastAsia="lt-LT"/>
        </w:rPr>
        <w:t xml:space="preserve"> </w:t>
      </w:r>
      <w:r>
        <w:rPr>
          <w:color w:val="000000"/>
          <w:kern w:val="3"/>
          <w:szCs w:val="24"/>
          <w:lang w:eastAsia="lt-LT"/>
        </w:rPr>
        <w:t>skelbiamos apklausos būdu vykdyt</w:t>
      </w:r>
      <w:r w:rsidR="00384F81">
        <w:rPr>
          <w:color w:val="000000"/>
          <w:kern w:val="3"/>
          <w:szCs w:val="24"/>
          <w:lang w:eastAsia="lt-LT"/>
        </w:rPr>
        <w:t>o</w:t>
      </w:r>
      <w:r>
        <w:rPr>
          <w:color w:val="000000"/>
          <w:kern w:val="3"/>
          <w:szCs w:val="24"/>
          <w:lang w:eastAsia="lt-LT"/>
        </w:rPr>
        <w:t xml:space="preserve"> palydovinio ryšio paslaugų </w:t>
      </w:r>
      <w:r w:rsidR="00F02A01" w:rsidRPr="00A84BE7">
        <w:rPr>
          <w:color w:val="000000"/>
          <w:kern w:val="3"/>
          <w:szCs w:val="24"/>
          <w:lang w:eastAsia="lt-LT"/>
        </w:rPr>
        <w:t>vieš</w:t>
      </w:r>
      <w:r>
        <w:rPr>
          <w:color w:val="000000"/>
          <w:kern w:val="3"/>
          <w:szCs w:val="24"/>
          <w:lang w:eastAsia="lt-LT"/>
        </w:rPr>
        <w:t xml:space="preserve">ojo </w:t>
      </w:r>
      <w:r w:rsidR="00F02A01" w:rsidRPr="00A84BE7">
        <w:rPr>
          <w:color w:val="000000"/>
          <w:kern w:val="3"/>
          <w:szCs w:val="24"/>
          <w:lang w:eastAsia="lt-LT"/>
        </w:rPr>
        <w:t>pirkim</w:t>
      </w:r>
      <w:r>
        <w:rPr>
          <w:color w:val="000000"/>
          <w:kern w:val="3"/>
          <w:szCs w:val="24"/>
          <w:lang w:eastAsia="lt-LT"/>
        </w:rPr>
        <w:t>o</w:t>
      </w:r>
      <w:r w:rsidRPr="00A84BE7">
        <w:rPr>
          <w:color w:val="000000"/>
          <w:kern w:val="3"/>
          <w:szCs w:val="24"/>
          <w:lang w:eastAsia="lt-LT"/>
        </w:rPr>
        <w:t xml:space="preserve"> (</w:t>
      </w:r>
      <w:r>
        <w:rPr>
          <w:color w:val="000000"/>
          <w:kern w:val="3"/>
          <w:szCs w:val="24"/>
          <w:lang w:eastAsia="lt-LT"/>
        </w:rPr>
        <w:t xml:space="preserve">CVP IS </w:t>
      </w:r>
      <w:r w:rsidRPr="00A84BE7">
        <w:rPr>
          <w:color w:val="000000"/>
          <w:kern w:val="3"/>
          <w:szCs w:val="24"/>
          <w:lang w:eastAsia="lt-LT"/>
        </w:rPr>
        <w:t xml:space="preserve">pirkimo </w:t>
      </w:r>
      <w:r>
        <w:rPr>
          <w:color w:val="000000"/>
          <w:kern w:val="3"/>
          <w:szCs w:val="24"/>
          <w:lang w:eastAsia="lt-LT"/>
        </w:rPr>
        <w:t>ID</w:t>
      </w:r>
      <w:r w:rsidRPr="00A84BE7">
        <w:rPr>
          <w:color w:val="000000"/>
          <w:kern w:val="3"/>
          <w:szCs w:val="24"/>
          <w:lang w:eastAsia="lt-LT"/>
        </w:rPr>
        <w:t xml:space="preserve"> </w:t>
      </w:r>
      <w:r>
        <w:rPr>
          <w:color w:val="000000"/>
          <w:kern w:val="3"/>
          <w:szCs w:val="24"/>
          <w:lang w:eastAsia="lt-LT"/>
        </w:rPr>
        <w:t>4667378</w:t>
      </w:r>
      <w:r w:rsidRPr="00A84BE7">
        <w:rPr>
          <w:color w:val="000000"/>
          <w:kern w:val="3"/>
          <w:szCs w:val="24"/>
          <w:lang w:eastAsia="lt-LT"/>
        </w:rPr>
        <w:t xml:space="preserve">) </w:t>
      </w:r>
      <w:r w:rsidR="00F02A01" w:rsidRPr="00A84BE7">
        <w:rPr>
          <w:color w:val="000000"/>
          <w:kern w:val="3"/>
          <w:szCs w:val="24"/>
          <w:lang w:eastAsia="lt-LT"/>
        </w:rPr>
        <w:t>(toliau – Pirkimas)</w:t>
      </w:r>
      <w:r w:rsidR="002A57DC" w:rsidRPr="00A84BE7">
        <w:rPr>
          <w:color w:val="000000"/>
          <w:kern w:val="3"/>
          <w:szCs w:val="24"/>
          <w:lang w:eastAsia="lt-LT"/>
        </w:rPr>
        <w:t xml:space="preserve"> procedūras </w:t>
      </w:r>
      <w:r w:rsidR="002A57DC" w:rsidRPr="00A84BE7">
        <w:rPr>
          <w:b/>
          <w:bCs/>
          <w:color w:val="000000"/>
          <w:kern w:val="3"/>
          <w:szCs w:val="24"/>
          <w:lang w:eastAsia="lt-LT"/>
        </w:rPr>
        <w:t>nutraukti</w:t>
      </w:r>
      <w:r w:rsidR="002A57DC" w:rsidRPr="00A84BE7">
        <w:rPr>
          <w:color w:val="000000"/>
          <w:kern w:val="3"/>
          <w:szCs w:val="24"/>
          <w:lang w:eastAsia="lt-LT"/>
        </w:rPr>
        <w:t>.</w:t>
      </w:r>
      <w:r w:rsidR="00080076" w:rsidRPr="00A84BE7">
        <w:rPr>
          <w:szCs w:val="24"/>
        </w:rPr>
        <w:t xml:space="preserve"> </w:t>
      </w:r>
    </w:p>
    <w:p w14:paraId="5D8DA6F1" w14:textId="3B3D2279" w:rsidR="00080076" w:rsidRPr="00A84BE7" w:rsidRDefault="00080076" w:rsidP="00080076">
      <w:pPr>
        <w:suppressAutoHyphens/>
        <w:autoSpaceDN w:val="0"/>
        <w:ind w:firstLine="567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A84BE7">
        <w:rPr>
          <w:color w:val="000000"/>
          <w:kern w:val="3"/>
          <w:szCs w:val="24"/>
          <w:lang w:eastAsia="lt-LT"/>
        </w:rPr>
        <w:t xml:space="preserve">Procedūrų nutraukimo priežastys: </w:t>
      </w:r>
    </w:p>
    <w:p w14:paraId="72F6C6D3" w14:textId="77777777" w:rsidR="00170FDE" w:rsidRDefault="00080076" w:rsidP="00080076">
      <w:pPr>
        <w:suppressAutoHyphens/>
        <w:autoSpaceDN w:val="0"/>
        <w:ind w:firstLine="567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A84BE7">
        <w:rPr>
          <w:color w:val="000000"/>
          <w:kern w:val="3"/>
          <w:szCs w:val="24"/>
          <w:lang w:eastAsia="lt-LT"/>
        </w:rPr>
        <w:t>1.</w:t>
      </w:r>
      <w:r w:rsidRPr="00A84BE7">
        <w:rPr>
          <w:color w:val="000000"/>
          <w:kern w:val="3"/>
          <w:szCs w:val="24"/>
          <w:lang w:eastAsia="lt-LT"/>
        </w:rPr>
        <w:tab/>
      </w:r>
      <w:r w:rsidR="00170FDE">
        <w:rPr>
          <w:color w:val="000000"/>
          <w:kern w:val="3"/>
          <w:szCs w:val="24"/>
          <w:lang w:eastAsia="lt-LT"/>
        </w:rPr>
        <w:t>Perkančioji organizacija išnagrinėjo 2025 m. spalio 13 d. gautą tiekėjo pretenziją, kurioje tiekėjas skundžia, kad pasiūlymai nebuvo įvertinti taip kaip nustatyta pasiūlymo formoje „</w:t>
      </w:r>
      <w:r w:rsidR="00170FDE" w:rsidRPr="00170FDE">
        <w:rPr>
          <w:i/>
          <w:color w:val="000000"/>
          <w:kern w:val="3"/>
          <w:szCs w:val="24"/>
          <w:lang w:eastAsia="lt-LT"/>
        </w:rPr>
        <w:t>Palyginamoji pasiūlymo kaina** EUR be PVM (</w:t>
      </w:r>
      <w:r w:rsidR="00170FDE" w:rsidRPr="00170FDE">
        <w:rPr>
          <w:b/>
          <w:i/>
          <w:color w:val="000000"/>
          <w:kern w:val="3"/>
          <w:szCs w:val="24"/>
          <w:lang w:eastAsia="lt-LT"/>
        </w:rPr>
        <w:t>6 stulpelio reikšmių suma</w:t>
      </w:r>
      <w:r w:rsidR="00170FDE" w:rsidRPr="00170FDE">
        <w:rPr>
          <w:i/>
          <w:color w:val="000000"/>
          <w:kern w:val="3"/>
          <w:szCs w:val="24"/>
          <w:lang w:eastAsia="lt-LT"/>
        </w:rPr>
        <w:t>)</w:t>
      </w:r>
      <w:r w:rsidR="00170FDE">
        <w:rPr>
          <w:color w:val="000000"/>
          <w:kern w:val="3"/>
          <w:szCs w:val="24"/>
          <w:lang w:eastAsia="lt-LT"/>
        </w:rPr>
        <w:t>“;</w:t>
      </w:r>
    </w:p>
    <w:p w14:paraId="246BDE39" w14:textId="32EA421D" w:rsidR="00C70F7E" w:rsidRPr="00A84BE7" w:rsidRDefault="00170FDE" w:rsidP="00384F81">
      <w:pPr>
        <w:suppressAutoHyphens/>
        <w:autoSpaceDN w:val="0"/>
        <w:ind w:firstLine="567"/>
        <w:jc w:val="both"/>
        <w:textAlignment w:val="baseline"/>
        <w:rPr>
          <w:color w:val="000000"/>
          <w:kern w:val="3"/>
          <w:szCs w:val="24"/>
          <w:lang w:eastAsia="lt-LT"/>
        </w:rPr>
      </w:pPr>
      <w:r>
        <w:rPr>
          <w:color w:val="000000"/>
          <w:kern w:val="3"/>
          <w:szCs w:val="24"/>
          <w:lang w:eastAsia="lt-LT"/>
        </w:rPr>
        <w:t xml:space="preserve">2. </w:t>
      </w:r>
      <w:r w:rsidR="00384F81" w:rsidRPr="00384F81">
        <w:rPr>
          <w:color w:val="000000"/>
          <w:kern w:val="3"/>
          <w:szCs w:val="24"/>
          <w:lang w:eastAsia="lt-LT"/>
        </w:rPr>
        <w:t>Techninė klaida Pirkimo sąlygose įvertinta kaip esminė, tiekėjai skirtingai supra</w:t>
      </w:r>
      <w:r w:rsidR="00384F81">
        <w:rPr>
          <w:color w:val="000000"/>
          <w:kern w:val="3"/>
          <w:szCs w:val="24"/>
          <w:lang w:eastAsia="lt-LT"/>
        </w:rPr>
        <w:t>to</w:t>
      </w:r>
      <w:r w:rsidR="00384F81" w:rsidRPr="00384F81">
        <w:rPr>
          <w:color w:val="000000"/>
          <w:kern w:val="3"/>
          <w:szCs w:val="24"/>
          <w:lang w:eastAsia="lt-LT"/>
        </w:rPr>
        <w:t xml:space="preserve"> ir įvertin</w:t>
      </w:r>
      <w:r w:rsidR="00384F81">
        <w:rPr>
          <w:color w:val="000000"/>
          <w:kern w:val="3"/>
          <w:szCs w:val="24"/>
          <w:lang w:eastAsia="lt-LT"/>
        </w:rPr>
        <w:t>o pasiūlymo formą, t. y.</w:t>
      </w:r>
      <w:r w:rsidRPr="00170FDE">
        <w:rPr>
          <w:color w:val="000000"/>
          <w:kern w:val="3"/>
          <w:szCs w:val="24"/>
          <w:lang w:eastAsia="lt-LT"/>
        </w:rPr>
        <w:t xml:space="preserve"> dalyviai skirtingai užpildė pasiūlymo formą, skirtingai traktavo pasiūlymų palyginimo lentelę, o Perkančiosios organizacijos siekis buvo įvertinti bendrą palyginamąją kainą visiems pasiūlymo lentelėje nurod</w:t>
      </w:r>
      <w:r w:rsidR="00384F81">
        <w:rPr>
          <w:color w:val="000000"/>
          <w:kern w:val="3"/>
          <w:szCs w:val="24"/>
          <w:lang w:eastAsia="lt-LT"/>
        </w:rPr>
        <w:t>ytiems preliminariems kiekiams</w:t>
      </w:r>
      <w:r w:rsidRPr="00170FDE">
        <w:rPr>
          <w:color w:val="000000"/>
          <w:kern w:val="3"/>
          <w:szCs w:val="24"/>
          <w:lang w:eastAsia="lt-LT"/>
        </w:rPr>
        <w:t xml:space="preserve">, </w:t>
      </w:r>
      <w:r w:rsidR="00384F81">
        <w:rPr>
          <w:color w:val="000000"/>
          <w:kern w:val="3"/>
          <w:szCs w:val="24"/>
          <w:lang w:eastAsia="lt-LT"/>
        </w:rPr>
        <w:t xml:space="preserve">atsižvelgiant į išdėstytą </w:t>
      </w:r>
      <w:r w:rsidRPr="00170FDE">
        <w:rPr>
          <w:color w:val="000000"/>
          <w:kern w:val="3"/>
          <w:szCs w:val="24"/>
          <w:lang w:eastAsia="lt-LT"/>
        </w:rPr>
        <w:t xml:space="preserve">vadovaujantis Bendrųjų pirkimo sąlygų 2.8 p. ir Lietuvos Respublikos viešųjų pirkimų įstatymo 29 str. 3 p. </w:t>
      </w:r>
      <w:r w:rsidR="00384F81">
        <w:rPr>
          <w:color w:val="000000"/>
          <w:kern w:val="3"/>
          <w:szCs w:val="24"/>
          <w:lang w:eastAsia="lt-LT"/>
        </w:rPr>
        <w:t xml:space="preserve">Pirkimas </w:t>
      </w:r>
      <w:r w:rsidRPr="00170FDE">
        <w:rPr>
          <w:color w:val="000000"/>
          <w:kern w:val="3"/>
          <w:szCs w:val="24"/>
          <w:lang w:eastAsia="lt-LT"/>
        </w:rPr>
        <w:t>nutraukiamas dėl Perkančiosios organizacijos techninės klai</w:t>
      </w:r>
      <w:r w:rsidR="00384F81">
        <w:rPr>
          <w:color w:val="000000"/>
          <w:kern w:val="3"/>
          <w:szCs w:val="24"/>
          <w:lang w:eastAsia="lt-LT"/>
        </w:rPr>
        <w:t>dos, kurios neįmanoma ištaisyti;</w:t>
      </w:r>
      <w:bookmarkStart w:id="0" w:name="_GoBack"/>
      <w:bookmarkEnd w:id="0"/>
    </w:p>
    <w:p w14:paraId="4FBF4D4D" w14:textId="0E53B35A" w:rsidR="00080076" w:rsidRPr="00A84BE7" w:rsidRDefault="00384F81" w:rsidP="00080076">
      <w:pPr>
        <w:suppressAutoHyphens/>
        <w:autoSpaceDN w:val="0"/>
        <w:ind w:firstLine="567"/>
        <w:jc w:val="both"/>
        <w:textAlignment w:val="baseline"/>
        <w:rPr>
          <w:color w:val="000000"/>
          <w:kern w:val="3"/>
          <w:szCs w:val="24"/>
          <w:lang w:eastAsia="lt-LT"/>
        </w:rPr>
      </w:pPr>
      <w:r>
        <w:rPr>
          <w:color w:val="000000"/>
          <w:kern w:val="3"/>
          <w:szCs w:val="24"/>
          <w:lang w:eastAsia="lt-LT"/>
        </w:rPr>
        <w:t>3</w:t>
      </w:r>
      <w:r w:rsidR="00080076" w:rsidRPr="00A84BE7">
        <w:rPr>
          <w:color w:val="000000"/>
          <w:kern w:val="3"/>
          <w:szCs w:val="24"/>
          <w:lang w:eastAsia="lt-LT"/>
        </w:rPr>
        <w:t>.</w:t>
      </w:r>
      <w:r w:rsidR="00080076" w:rsidRPr="00A84BE7">
        <w:rPr>
          <w:color w:val="000000"/>
          <w:kern w:val="3"/>
          <w:szCs w:val="24"/>
          <w:lang w:eastAsia="lt-LT"/>
        </w:rPr>
        <w:tab/>
        <w:t>Viešųjų pirkimų tarnyb</w:t>
      </w:r>
      <w:r w:rsidR="00886280" w:rsidRPr="00A84BE7">
        <w:rPr>
          <w:color w:val="000000"/>
          <w:kern w:val="3"/>
          <w:szCs w:val="24"/>
          <w:lang w:eastAsia="lt-LT"/>
        </w:rPr>
        <w:t>os</w:t>
      </w:r>
      <w:r w:rsidR="00080076" w:rsidRPr="00A84BE7">
        <w:rPr>
          <w:color w:val="000000"/>
          <w:kern w:val="3"/>
          <w:szCs w:val="24"/>
          <w:lang w:eastAsia="lt-LT"/>
        </w:rPr>
        <w:t xml:space="preserve"> (toliau – VPT) 2020 m. balandžio 14 d. išaiškinim</w:t>
      </w:r>
      <w:r w:rsidR="00886280" w:rsidRPr="00A84BE7">
        <w:rPr>
          <w:color w:val="000000"/>
          <w:kern w:val="3"/>
          <w:szCs w:val="24"/>
          <w:lang w:eastAsia="lt-LT"/>
        </w:rPr>
        <w:t>as</w:t>
      </w:r>
      <w:r w:rsidR="00080076" w:rsidRPr="00A84BE7">
        <w:rPr>
          <w:color w:val="000000"/>
          <w:kern w:val="3"/>
          <w:szCs w:val="24"/>
          <w:lang w:eastAsia="lt-LT"/>
        </w:rPr>
        <w:t xml:space="preserve"> (https://klausk.vpt.lt/hc/lt/articles/360007314360-Ar-galima-nutraukti-pirkim%C4%85-po-to-kai-), </w:t>
      </w:r>
      <w:r w:rsidR="00886280" w:rsidRPr="00A84BE7">
        <w:rPr>
          <w:color w:val="000000"/>
          <w:kern w:val="3"/>
          <w:szCs w:val="24"/>
          <w:lang w:eastAsia="lt-LT"/>
        </w:rPr>
        <w:t>kad</w:t>
      </w:r>
      <w:r w:rsidR="00080076" w:rsidRPr="00A84BE7">
        <w:rPr>
          <w:color w:val="000000"/>
          <w:kern w:val="3"/>
          <w:szCs w:val="24"/>
          <w:lang w:eastAsia="lt-LT"/>
        </w:rPr>
        <w:t xml:space="preserve"> suėjus pasiūlymų pateikimo terminui perkanči</w:t>
      </w:r>
      <w:r w:rsidR="00773561" w:rsidRPr="00A84BE7">
        <w:rPr>
          <w:color w:val="000000"/>
          <w:kern w:val="3"/>
          <w:szCs w:val="24"/>
          <w:lang w:eastAsia="lt-LT"/>
        </w:rPr>
        <w:t>ajai</w:t>
      </w:r>
      <w:r w:rsidR="00080076" w:rsidRPr="00A84BE7">
        <w:rPr>
          <w:color w:val="000000"/>
          <w:kern w:val="3"/>
          <w:szCs w:val="24"/>
          <w:lang w:eastAsia="lt-LT"/>
        </w:rPr>
        <w:t xml:space="preserve"> organizacija</w:t>
      </w:r>
      <w:r w:rsidR="00773561" w:rsidRPr="00A84BE7">
        <w:rPr>
          <w:color w:val="000000"/>
          <w:kern w:val="3"/>
          <w:szCs w:val="24"/>
          <w:lang w:eastAsia="lt-LT"/>
        </w:rPr>
        <w:t>i</w:t>
      </w:r>
      <w:r w:rsidR="00080076" w:rsidRPr="00A84BE7">
        <w:rPr>
          <w:color w:val="000000"/>
          <w:kern w:val="3"/>
          <w:szCs w:val="24"/>
          <w:lang w:eastAsia="lt-LT"/>
        </w:rPr>
        <w:t xml:space="preserve"> pastebėj</w:t>
      </w:r>
      <w:r w:rsidR="00773561" w:rsidRPr="00A84BE7">
        <w:rPr>
          <w:color w:val="000000"/>
          <w:kern w:val="3"/>
          <w:szCs w:val="24"/>
          <w:lang w:eastAsia="lt-LT"/>
        </w:rPr>
        <w:t>us</w:t>
      </w:r>
      <w:r w:rsidR="00080076" w:rsidRPr="00A84BE7">
        <w:rPr>
          <w:color w:val="000000"/>
          <w:kern w:val="3"/>
          <w:szCs w:val="24"/>
          <w:lang w:eastAsia="lt-LT"/>
        </w:rPr>
        <w:t xml:space="preserve"> klaidų savo parengtuose dokumentuose, dėl kurių ji nepasieks pirkimu siekiamų tikslų (įsigyti jai reikalingų charakteristikų prekių/paslaugų/darbų), ji sąlygų pataisyti negali, nenutraukdama pirkimo. </w:t>
      </w:r>
    </w:p>
    <w:p w14:paraId="7905571D" w14:textId="0FAD6BA6" w:rsidR="00080076" w:rsidRPr="00A84BE7" w:rsidRDefault="00080076" w:rsidP="00080076">
      <w:pPr>
        <w:suppressAutoHyphens/>
        <w:autoSpaceDN w:val="0"/>
        <w:ind w:firstLine="567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A84BE7">
        <w:rPr>
          <w:color w:val="000000"/>
          <w:kern w:val="3"/>
          <w:szCs w:val="24"/>
          <w:lang w:eastAsia="lt-LT"/>
        </w:rPr>
        <w:t xml:space="preserve">Atsižvelgdami į nurodytas aplinkybes, VPĮ nustatytą pirkimo nutraukimo teisinį reglamentavimą bei VPT išaiškinimą, </w:t>
      </w:r>
      <w:r w:rsidR="001335F7">
        <w:rPr>
          <w:color w:val="000000"/>
          <w:kern w:val="3"/>
          <w:szCs w:val="24"/>
          <w:lang w:eastAsia="lt-LT"/>
        </w:rPr>
        <w:t xml:space="preserve">Perkančioji organizacija </w:t>
      </w:r>
      <w:r w:rsidRPr="00A84BE7">
        <w:rPr>
          <w:color w:val="000000"/>
          <w:kern w:val="3"/>
          <w:szCs w:val="24"/>
          <w:lang w:eastAsia="lt-LT"/>
        </w:rPr>
        <w:t xml:space="preserve">nutraukia pirkimo procedūras ir informuojame, kad patikslinus </w:t>
      </w:r>
      <w:r w:rsidR="00DD5434" w:rsidRPr="00A84BE7">
        <w:rPr>
          <w:color w:val="000000"/>
          <w:kern w:val="3"/>
          <w:szCs w:val="24"/>
          <w:lang w:eastAsia="lt-LT"/>
        </w:rPr>
        <w:t>Pirkimo sąlyg</w:t>
      </w:r>
      <w:r w:rsidR="00384F81">
        <w:rPr>
          <w:color w:val="000000"/>
          <w:kern w:val="3"/>
          <w:szCs w:val="24"/>
          <w:lang w:eastAsia="lt-LT"/>
        </w:rPr>
        <w:t>as</w:t>
      </w:r>
      <w:r w:rsidR="00275961" w:rsidRPr="00A84BE7">
        <w:rPr>
          <w:color w:val="000000"/>
          <w:kern w:val="3"/>
          <w:szCs w:val="24"/>
          <w:lang w:eastAsia="lt-LT"/>
        </w:rPr>
        <w:t xml:space="preserve"> </w:t>
      </w:r>
      <w:r w:rsidRPr="00A84BE7">
        <w:rPr>
          <w:color w:val="000000"/>
          <w:kern w:val="3"/>
          <w:szCs w:val="24"/>
          <w:lang w:eastAsia="lt-LT"/>
        </w:rPr>
        <w:t xml:space="preserve">naujas pirkimas dėl </w:t>
      </w:r>
      <w:r w:rsidR="00384F81" w:rsidRPr="00384F81">
        <w:rPr>
          <w:color w:val="000000"/>
          <w:kern w:val="3"/>
          <w:szCs w:val="24"/>
          <w:lang w:eastAsia="lt-LT"/>
        </w:rPr>
        <w:t>palydovinio ryšio paslaugų</w:t>
      </w:r>
      <w:r w:rsidRPr="00A84BE7">
        <w:rPr>
          <w:color w:val="000000"/>
          <w:kern w:val="3"/>
          <w:szCs w:val="24"/>
          <w:lang w:eastAsia="lt-LT"/>
        </w:rPr>
        <w:t xml:space="preserve"> bus paskelbtas </w:t>
      </w:r>
      <w:r w:rsidR="00DB1D3C" w:rsidRPr="00A84BE7">
        <w:rPr>
          <w:color w:val="000000"/>
          <w:kern w:val="3"/>
          <w:szCs w:val="24"/>
          <w:lang w:eastAsia="lt-LT"/>
        </w:rPr>
        <w:t xml:space="preserve">iš naujo </w:t>
      </w:r>
      <w:r w:rsidRPr="00A84BE7">
        <w:rPr>
          <w:color w:val="000000"/>
          <w:kern w:val="3"/>
          <w:szCs w:val="24"/>
          <w:lang w:eastAsia="lt-LT"/>
        </w:rPr>
        <w:t xml:space="preserve">CVP IS. </w:t>
      </w:r>
    </w:p>
    <w:p w14:paraId="5CEBF310" w14:textId="77777777" w:rsidR="00080076" w:rsidRPr="00A84BE7" w:rsidRDefault="00080076" w:rsidP="00080076">
      <w:pPr>
        <w:suppressAutoHyphens/>
        <w:autoSpaceDN w:val="0"/>
        <w:ind w:firstLine="567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A84BE7">
        <w:rPr>
          <w:color w:val="000000"/>
          <w:kern w:val="3"/>
          <w:szCs w:val="24"/>
          <w:lang w:eastAsia="lt-LT"/>
        </w:rPr>
        <w:t>Pažymėtina, kad nutraukus šias pirkimo procedūras, pirkimas pasibaigia.</w:t>
      </w:r>
    </w:p>
    <w:p w14:paraId="5353AC5B" w14:textId="77777777" w:rsidR="00EB6E1B" w:rsidRPr="00A84BE7" w:rsidRDefault="00EB6E1B" w:rsidP="00F9697A">
      <w:pPr>
        <w:pStyle w:val="parasas"/>
        <w:ind w:firstLine="851"/>
        <w:rPr>
          <w:szCs w:val="24"/>
        </w:rPr>
      </w:pPr>
    </w:p>
    <w:p w14:paraId="6C1A7C3D" w14:textId="77777777" w:rsidR="00EB6E1B" w:rsidRPr="00A84BE7" w:rsidRDefault="00EB6E1B" w:rsidP="00F9697A">
      <w:pPr>
        <w:pStyle w:val="parasas"/>
        <w:ind w:firstLine="851"/>
        <w:rPr>
          <w:szCs w:val="24"/>
        </w:rPr>
      </w:pPr>
    </w:p>
    <w:p w14:paraId="41B68AF3" w14:textId="4C080E54" w:rsidR="00FF0E28" w:rsidRPr="00A84BE7" w:rsidRDefault="00B84C94" w:rsidP="000D7AD7">
      <w:pPr>
        <w:pStyle w:val="parasas"/>
        <w:ind w:firstLine="567"/>
        <w:rPr>
          <w:szCs w:val="24"/>
        </w:rPr>
      </w:pPr>
      <w:r w:rsidRPr="00A84BE7">
        <w:rPr>
          <w:szCs w:val="24"/>
        </w:rPr>
        <w:t>Perkančioji organizacija</w:t>
      </w:r>
    </w:p>
    <w:p w14:paraId="1891BEC5" w14:textId="77777777" w:rsidR="009F4F9C" w:rsidRPr="00A84BE7" w:rsidRDefault="009F4F9C" w:rsidP="002C1D93">
      <w:pPr>
        <w:pStyle w:val="parasas"/>
        <w:spacing w:line="360" w:lineRule="auto"/>
        <w:rPr>
          <w:szCs w:val="24"/>
        </w:rPr>
      </w:pPr>
    </w:p>
    <w:p w14:paraId="280069A1" w14:textId="77777777" w:rsidR="00EB4F5B" w:rsidRPr="00A84BE7" w:rsidRDefault="00EB4F5B" w:rsidP="00EB4F5B">
      <w:pPr>
        <w:pStyle w:val="Default"/>
        <w:rPr>
          <w:rFonts w:ascii="Times New Roman" w:hAnsi="Times New Roman" w:cs="Times New Roman"/>
        </w:rPr>
      </w:pPr>
    </w:p>
    <w:p w14:paraId="26404BA7" w14:textId="77777777" w:rsidR="00EB4F5B" w:rsidRDefault="00EB4F5B" w:rsidP="00EB4F5B">
      <w:r>
        <w:t xml:space="preserve"> </w:t>
      </w:r>
    </w:p>
    <w:p w14:paraId="459B2C61" w14:textId="77777777" w:rsidR="00EB6E1B" w:rsidRDefault="00EB6E1B" w:rsidP="00EB4F5B">
      <w:pPr>
        <w:ind w:firstLine="0"/>
        <w:rPr>
          <w:rFonts w:ascii="Verdana" w:hAnsi="Verdana"/>
          <w:sz w:val="20"/>
        </w:rPr>
      </w:pPr>
    </w:p>
    <w:p w14:paraId="10CC7F82" w14:textId="77777777" w:rsidR="00EB6E1B" w:rsidRDefault="00EB6E1B" w:rsidP="00EB4F5B">
      <w:pPr>
        <w:ind w:firstLine="0"/>
        <w:rPr>
          <w:rFonts w:ascii="Verdana" w:hAnsi="Verdana"/>
          <w:sz w:val="20"/>
        </w:rPr>
      </w:pPr>
    </w:p>
    <w:p w14:paraId="28163708" w14:textId="77777777" w:rsidR="00EB6E1B" w:rsidRDefault="00EB6E1B" w:rsidP="00EB4F5B">
      <w:pPr>
        <w:ind w:firstLine="0"/>
        <w:rPr>
          <w:rFonts w:ascii="Verdana" w:hAnsi="Verdana"/>
          <w:sz w:val="20"/>
        </w:rPr>
      </w:pPr>
    </w:p>
    <w:p w14:paraId="52192B75" w14:textId="3F3D0959" w:rsidR="00C33CF2" w:rsidRPr="00EB4F5B" w:rsidRDefault="00C33CF2" w:rsidP="00EB4F5B">
      <w:pPr>
        <w:ind w:firstLine="0"/>
        <w:rPr>
          <w:rFonts w:ascii="Verdana" w:hAnsi="Verdana"/>
          <w:sz w:val="20"/>
        </w:rPr>
      </w:pPr>
    </w:p>
    <w:sectPr w:rsidR="00C33CF2" w:rsidRPr="00EB4F5B" w:rsidSect="00FF0E28">
      <w:headerReference w:type="default" r:id="rId9"/>
      <w:footerReference w:type="even" r:id="rId10"/>
      <w:headerReference w:type="first" r:id="rId11"/>
      <w:pgSz w:w="11906" w:h="16838" w:code="9"/>
      <w:pgMar w:top="1135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5E11" w14:textId="77777777" w:rsidR="00D9456B" w:rsidRDefault="00D9456B">
      <w:r>
        <w:separator/>
      </w:r>
    </w:p>
  </w:endnote>
  <w:endnote w:type="continuationSeparator" w:id="0">
    <w:p w14:paraId="3FF7FFA0" w14:textId="77777777" w:rsidR="00D9456B" w:rsidRDefault="00D9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D3FB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9B03A6" w14:textId="77777777" w:rsidR="003E222C" w:rsidRDefault="003E2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C206" w14:textId="77777777" w:rsidR="00D9456B" w:rsidRDefault="00D9456B">
      <w:r>
        <w:separator/>
      </w:r>
    </w:p>
  </w:footnote>
  <w:footnote w:type="continuationSeparator" w:id="0">
    <w:p w14:paraId="33B5BF89" w14:textId="77777777" w:rsidR="00D9456B" w:rsidRDefault="00D9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788DA" w14:textId="353DD42D" w:rsidR="003E222C" w:rsidRDefault="00956620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>
      <w:rPr>
        <w:rStyle w:val="PageNumber"/>
        <w:sz w:val="20"/>
      </w:rPr>
      <w:fldChar w:fldCharType="begin"/>
    </w:r>
    <w:r w:rsidR="003E222C"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384F81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F412" w14:textId="53CBE1ED" w:rsidR="003E222C" w:rsidRDefault="00FB59A0" w:rsidP="00862E1D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24"/>
    <w:rsid w:val="00003589"/>
    <w:rsid w:val="000109FE"/>
    <w:rsid w:val="00013C61"/>
    <w:rsid w:val="00017648"/>
    <w:rsid w:val="00022A47"/>
    <w:rsid w:val="00080076"/>
    <w:rsid w:val="00086F27"/>
    <w:rsid w:val="00090BE0"/>
    <w:rsid w:val="00091BC9"/>
    <w:rsid w:val="000A7BA6"/>
    <w:rsid w:val="000C0D78"/>
    <w:rsid w:val="000C2FAC"/>
    <w:rsid w:val="000D4364"/>
    <w:rsid w:val="000D5301"/>
    <w:rsid w:val="000D7AD7"/>
    <w:rsid w:val="000E7ACE"/>
    <w:rsid w:val="000F6AED"/>
    <w:rsid w:val="000F7092"/>
    <w:rsid w:val="001068F1"/>
    <w:rsid w:val="001213F2"/>
    <w:rsid w:val="00125375"/>
    <w:rsid w:val="00127D13"/>
    <w:rsid w:val="001335F7"/>
    <w:rsid w:val="00133D24"/>
    <w:rsid w:val="00140865"/>
    <w:rsid w:val="00150D3B"/>
    <w:rsid w:val="00162DA3"/>
    <w:rsid w:val="00164D11"/>
    <w:rsid w:val="00170FDE"/>
    <w:rsid w:val="001868B5"/>
    <w:rsid w:val="00190AD9"/>
    <w:rsid w:val="00195ABE"/>
    <w:rsid w:val="00196419"/>
    <w:rsid w:val="001C2AE0"/>
    <w:rsid w:val="001D1286"/>
    <w:rsid w:val="001D41A4"/>
    <w:rsid w:val="001E025C"/>
    <w:rsid w:val="001E3BEE"/>
    <w:rsid w:val="001E5F3C"/>
    <w:rsid w:val="001F3F7A"/>
    <w:rsid w:val="001F78E6"/>
    <w:rsid w:val="002414E2"/>
    <w:rsid w:val="00241F72"/>
    <w:rsid w:val="0026062C"/>
    <w:rsid w:val="00274764"/>
    <w:rsid w:val="00275961"/>
    <w:rsid w:val="00277C15"/>
    <w:rsid w:val="002A57DC"/>
    <w:rsid w:val="002C1D93"/>
    <w:rsid w:val="002C2ACA"/>
    <w:rsid w:val="002D08C3"/>
    <w:rsid w:val="002D111E"/>
    <w:rsid w:val="002D4807"/>
    <w:rsid w:val="002F481E"/>
    <w:rsid w:val="003001D6"/>
    <w:rsid w:val="003149E5"/>
    <w:rsid w:val="003201A1"/>
    <w:rsid w:val="003330FC"/>
    <w:rsid w:val="00356922"/>
    <w:rsid w:val="003626F7"/>
    <w:rsid w:val="00365CBC"/>
    <w:rsid w:val="00366287"/>
    <w:rsid w:val="003813CD"/>
    <w:rsid w:val="00384F81"/>
    <w:rsid w:val="0039053D"/>
    <w:rsid w:val="003A756A"/>
    <w:rsid w:val="003B57DE"/>
    <w:rsid w:val="003B5ABD"/>
    <w:rsid w:val="003B6C26"/>
    <w:rsid w:val="003C1B80"/>
    <w:rsid w:val="003E1A3C"/>
    <w:rsid w:val="003E222C"/>
    <w:rsid w:val="003F60C2"/>
    <w:rsid w:val="003F6962"/>
    <w:rsid w:val="00430673"/>
    <w:rsid w:val="00434500"/>
    <w:rsid w:val="00436642"/>
    <w:rsid w:val="00437CC2"/>
    <w:rsid w:val="00440C71"/>
    <w:rsid w:val="00452BFC"/>
    <w:rsid w:val="00463398"/>
    <w:rsid w:val="0046613B"/>
    <w:rsid w:val="00467C0D"/>
    <w:rsid w:val="00471090"/>
    <w:rsid w:val="00476998"/>
    <w:rsid w:val="004825A2"/>
    <w:rsid w:val="0048371B"/>
    <w:rsid w:val="00485E2E"/>
    <w:rsid w:val="00497A6A"/>
    <w:rsid w:val="004A271F"/>
    <w:rsid w:val="004A49C6"/>
    <w:rsid w:val="004A5D1D"/>
    <w:rsid w:val="004B4965"/>
    <w:rsid w:val="004D459D"/>
    <w:rsid w:val="004E3140"/>
    <w:rsid w:val="004E63AD"/>
    <w:rsid w:val="004F22F8"/>
    <w:rsid w:val="00501DCF"/>
    <w:rsid w:val="00506420"/>
    <w:rsid w:val="005067DD"/>
    <w:rsid w:val="005147CC"/>
    <w:rsid w:val="0052787E"/>
    <w:rsid w:val="0054339E"/>
    <w:rsid w:val="005536EE"/>
    <w:rsid w:val="005633BF"/>
    <w:rsid w:val="005741D4"/>
    <w:rsid w:val="0057667C"/>
    <w:rsid w:val="005B3B10"/>
    <w:rsid w:val="005D55CF"/>
    <w:rsid w:val="005E08CF"/>
    <w:rsid w:val="0060138E"/>
    <w:rsid w:val="006053BA"/>
    <w:rsid w:val="00606667"/>
    <w:rsid w:val="00617098"/>
    <w:rsid w:val="00621824"/>
    <w:rsid w:val="00631479"/>
    <w:rsid w:val="00647399"/>
    <w:rsid w:val="00653DF6"/>
    <w:rsid w:val="006577D2"/>
    <w:rsid w:val="006702C0"/>
    <w:rsid w:val="00682402"/>
    <w:rsid w:val="0068530A"/>
    <w:rsid w:val="00694C36"/>
    <w:rsid w:val="006E5E39"/>
    <w:rsid w:val="006F2C25"/>
    <w:rsid w:val="006F52FC"/>
    <w:rsid w:val="006F5F1B"/>
    <w:rsid w:val="00706CE2"/>
    <w:rsid w:val="00714953"/>
    <w:rsid w:val="007164E0"/>
    <w:rsid w:val="007365F7"/>
    <w:rsid w:val="00744C02"/>
    <w:rsid w:val="00755613"/>
    <w:rsid w:val="00762018"/>
    <w:rsid w:val="00763B25"/>
    <w:rsid w:val="0077249C"/>
    <w:rsid w:val="00773561"/>
    <w:rsid w:val="00774C81"/>
    <w:rsid w:val="00786EC5"/>
    <w:rsid w:val="00790998"/>
    <w:rsid w:val="00791CEA"/>
    <w:rsid w:val="007A03BB"/>
    <w:rsid w:val="007A0584"/>
    <w:rsid w:val="007B52BF"/>
    <w:rsid w:val="007C3562"/>
    <w:rsid w:val="007C7155"/>
    <w:rsid w:val="007D4E42"/>
    <w:rsid w:val="007D7A5E"/>
    <w:rsid w:val="007E29B7"/>
    <w:rsid w:val="00810140"/>
    <w:rsid w:val="00842B61"/>
    <w:rsid w:val="00844D88"/>
    <w:rsid w:val="00846EF5"/>
    <w:rsid w:val="0085136D"/>
    <w:rsid w:val="00851E36"/>
    <w:rsid w:val="00854917"/>
    <w:rsid w:val="00857579"/>
    <w:rsid w:val="00862E1D"/>
    <w:rsid w:val="00863E80"/>
    <w:rsid w:val="00867C4A"/>
    <w:rsid w:val="00871886"/>
    <w:rsid w:val="00886280"/>
    <w:rsid w:val="008A7594"/>
    <w:rsid w:val="008E2AFA"/>
    <w:rsid w:val="008F3806"/>
    <w:rsid w:val="008F4491"/>
    <w:rsid w:val="008F5A5E"/>
    <w:rsid w:val="00912AAB"/>
    <w:rsid w:val="00921E58"/>
    <w:rsid w:val="00942006"/>
    <w:rsid w:val="00945E28"/>
    <w:rsid w:val="00956620"/>
    <w:rsid w:val="00957EE6"/>
    <w:rsid w:val="0096645B"/>
    <w:rsid w:val="00975B4D"/>
    <w:rsid w:val="00990F8A"/>
    <w:rsid w:val="00992B87"/>
    <w:rsid w:val="009A3371"/>
    <w:rsid w:val="009A6563"/>
    <w:rsid w:val="009C2423"/>
    <w:rsid w:val="009E21E2"/>
    <w:rsid w:val="009E6F5C"/>
    <w:rsid w:val="009F4D01"/>
    <w:rsid w:val="009F4F9C"/>
    <w:rsid w:val="00A00AA7"/>
    <w:rsid w:val="00A25E02"/>
    <w:rsid w:val="00A45BA8"/>
    <w:rsid w:val="00A570D1"/>
    <w:rsid w:val="00A61B90"/>
    <w:rsid w:val="00A661EB"/>
    <w:rsid w:val="00A673F1"/>
    <w:rsid w:val="00A6788B"/>
    <w:rsid w:val="00A76385"/>
    <w:rsid w:val="00A84BE7"/>
    <w:rsid w:val="00A85785"/>
    <w:rsid w:val="00A90AB4"/>
    <w:rsid w:val="00A94DB6"/>
    <w:rsid w:val="00AC1A62"/>
    <w:rsid w:val="00AC5EC1"/>
    <w:rsid w:val="00AD034E"/>
    <w:rsid w:val="00AD1A99"/>
    <w:rsid w:val="00AD25F4"/>
    <w:rsid w:val="00AE1C8A"/>
    <w:rsid w:val="00B05E02"/>
    <w:rsid w:val="00B10B04"/>
    <w:rsid w:val="00B22F4C"/>
    <w:rsid w:val="00B23A2F"/>
    <w:rsid w:val="00B31268"/>
    <w:rsid w:val="00B34597"/>
    <w:rsid w:val="00B370F4"/>
    <w:rsid w:val="00B44DBA"/>
    <w:rsid w:val="00B51ECB"/>
    <w:rsid w:val="00B57EEC"/>
    <w:rsid w:val="00B63A78"/>
    <w:rsid w:val="00B667B4"/>
    <w:rsid w:val="00B736F3"/>
    <w:rsid w:val="00B80E3E"/>
    <w:rsid w:val="00B84C94"/>
    <w:rsid w:val="00B94077"/>
    <w:rsid w:val="00BA0E51"/>
    <w:rsid w:val="00BA73A0"/>
    <w:rsid w:val="00BB5159"/>
    <w:rsid w:val="00BC2EC5"/>
    <w:rsid w:val="00BC4211"/>
    <w:rsid w:val="00BD5D53"/>
    <w:rsid w:val="00BF3386"/>
    <w:rsid w:val="00C00444"/>
    <w:rsid w:val="00C04CD1"/>
    <w:rsid w:val="00C21754"/>
    <w:rsid w:val="00C22881"/>
    <w:rsid w:val="00C33CF2"/>
    <w:rsid w:val="00C438E9"/>
    <w:rsid w:val="00C4651F"/>
    <w:rsid w:val="00C5309D"/>
    <w:rsid w:val="00C70F7E"/>
    <w:rsid w:val="00C80AB4"/>
    <w:rsid w:val="00C80AF8"/>
    <w:rsid w:val="00CC175A"/>
    <w:rsid w:val="00CC48F8"/>
    <w:rsid w:val="00CD382F"/>
    <w:rsid w:val="00CE5F03"/>
    <w:rsid w:val="00CF2713"/>
    <w:rsid w:val="00CF6BBA"/>
    <w:rsid w:val="00CF78D7"/>
    <w:rsid w:val="00D00154"/>
    <w:rsid w:val="00D04258"/>
    <w:rsid w:val="00D154FA"/>
    <w:rsid w:val="00D22AEA"/>
    <w:rsid w:val="00D24759"/>
    <w:rsid w:val="00D26013"/>
    <w:rsid w:val="00D409B0"/>
    <w:rsid w:val="00D4140F"/>
    <w:rsid w:val="00D47E87"/>
    <w:rsid w:val="00D51194"/>
    <w:rsid w:val="00D56E46"/>
    <w:rsid w:val="00D76E75"/>
    <w:rsid w:val="00D80616"/>
    <w:rsid w:val="00D81434"/>
    <w:rsid w:val="00D83919"/>
    <w:rsid w:val="00D9456B"/>
    <w:rsid w:val="00DB1D3C"/>
    <w:rsid w:val="00DC0F8C"/>
    <w:rsid w:val="00DC3D75"/>
    <w:rsid w:val="00DC5C4D"/>
    <w:rsid w:val="00DD05BD"/>
    <w:rsid w:val="00DD10B3"/>
    <w:rsid w:val="00DD5434"/>
    <w:rsid w:val="00DF2B12"/>
    <w:rsid w:val="00E13C2F"/>
    <w:rsid w:val="00E144CD"/>
    <w:rsid w:val="00E30B30"/>
    <w:rsid w:val="00E321C1"/>
    <w:rsid w:val="00E33923"/>
    <w:rsid w:val="00E411EE"/>
    <w:rsid w:val="00E56792"/>
    <w:rsid w:val="00E57DB9"/>
    <w:rsid w:val="00E760B1"/>
    <w:rsid w:val="00E86EB8"/>
    <w:rsid w:val="00E87183"/>
    <w:rsid w:val="00EB4F5B"/>
    <w:rsid w:val="00EB5E3E"/>
    <w:rsid w:val="00EB6E1B"/>
    <w:rsid w:val="00ED1AD5"/>
    <w:rsid w:val="00ED4D3A"/>
    <w:rsid w:val="00EE038B"/>
    <w:rsid w:val="00EE3B81"/>
    <w:rsid w:val="00EE6033"/>
    <w:rsid w:val="00EE7EDE"/>
    <w:rsid w:val="00EF6395"/>
    <w:rsid w:val="00F02A01"/>
    <w:rsid w:val="00F13B74"/>
    <w:rsid w:val="00F341DF"/>
    <w:rsid w:val="00F6217B"/>
    <w:rsid w:val="00F95B23"/>
    <w:rsid w:val="00F9697A"/>
    <w:rsid w:val="00FA5550"/>
    <w:rsid w:val="00FB031A"/>
    <w:rsid w:val="00FB1C00"/>
    <w:rsid w:val="00FB59A0"/>
    <w:rsid w:val="00FB63E5"/>
    <w:rsid w:val="00FC13E4"/>
    <w:rsid w:val="00FD273A"/>
    <w:rsid w:val="00FD27F2"/>
    <w:rsid w:val="00FD5AD4"/>
    <w:rsid w:val="00FE08F7"/>
    <w:rsid w:val="00FE3D11"/>
    <w:rsid w:val="00FF0E28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64a97"/>
    </o:shapedefaults>
    <o:shapelayout v:ext="edit">
      <o:idmap v:ext="edit" data="1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19"/>
    <w:pPr>
      <w:ind w:firstLine="7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ind w:firstLine="0"/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paragraph" w:customStyle="1" w:styleId="Default">
    <w:name w:val="Default"/>
    <w:rsid w:val="00EB4F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81ECE8-6FF2-4A5A-BE31-658115557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LVPA</vt:lpstr>
      <vt:lpstr>LVPA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LVPA</dc:title>
  <dc:subject/>
  <dc:creator>Ilona Šaltienė</dc:creator>
  <cp:keywords/>
  <cp:lastModifiedBy>Gintarė Kanišauskaitė</cp:lastModifiedBy>
  <cp:revision>4</cp:revision>
  <cp:lastPrinted>2007-02-20T11:28:00Z</cp:lastPrinted>
  <dcterms:created xsi:type="dcterms:W3CDTF">2025-10-14T13:40:00Z</dcterms:created>
  <dcterms:modified xsi:type="dcterms:W3CDTF">2025-10-14T14:00:00Z</dcterms:modified>
</cp:coreProperties>
</file>