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2FDEBAE4" w:rsidR="005A5832" w:rsidRPr="00FA5161" w:rsidRDefault="003C7D0B" w:rsidP="008915CA">
            <w:pPr>
              <w:jc w:val="both"/>
              <w:rPr>
                <w:rFonts w:ascii="Cambria" w:hAnsi="Cambria"/>
                <w:kern w:val="2"/>
                <w:sz w:val="22"/>
                <w:szCs w:val="22"/>
              </w:rPr>
            </w:pPr>
            <w:r w:rsidRPr="003C7D0B">
              <w:rPr>
                <w:rFonts w:ascii="Cambria" w:hAnsi="Cambria"/>
                <w:kern w:val="2"/>
                <w:sz w:val="22"/>
                <w:szCs w:val="22"/>
              </w:rPr>
              <w:t xml:space="preserve">Lašinimo sistema tūrinei </w:t>
            </w:r>
            <w:proofErr w:type="spellStart"/>
            <w:r w:rsidRPr="003C7D0B">
              <w:rPr>
                <w:rFonts w:ascii="Cambria" w:hAnsi="Cambria"/>
                <w:kern w:val="2"/>
                <w:sz w:val="22"/>
                <w:szCs w:val="22"/>
              </w:rPr>
              <w:t>parenterinės</w:t>
            </w:r>
            <w:proofErr w:type="spellEnd"/>
            <w:r w:rsidRPr="003C7D0B">
              <w:rPr>
                <w:rFonts w:ascii="Cambria" w:hAnsi="Cambria"/>
                <w:kern w:val="2"/>
                <w:sz w:val="22"/>
                <w:szCs w:val="22"/>
              </w:rPr>
              <w:t xml:space="preserve"> mitybos pompai</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21A3DA56"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321F51" w:rsidRPr="00321F51">
              <w:rPr>
                <w:rFonts w:ascii="Cambria" w:hAnsi="Cambria"/>
                <w:kern w:val="2"/>
                <w:sz w:val="22"/>
                <w:szCs w:val="22"/>
              </w:rPr>
              <w:t>Lašinimo sistem</w:t>
            </w:r>
            <w:r w:rsidR="00321F51">
              <w:rPr>
                <w:rFonts w:ascii="Cambria" w:hAnsi="Cambria"/>
                <w:kern w:val="2"/>
                <w:sz w:val="22"/>
                <w:szCs w:val="22"/>
              </w:rPr>
              <w:t>ą</w:t>
            </w:r>
            <w:r w:rsidR="00321F51" w:rsidRPr="00321F51">
              <w:rPr>
                <w:rFonts w:ascii="Cambria" w:hAnsi="Cambria"/>
                <w:kern w:val="2"/>
                <w:sz w:val="22"/>
                <w:szCs w:val="22"/>
              </w:rPr>
              <w:t xml:space="preserve"> tūrinei </w:t>
            </w:r>
            <w:proofErr w:type="spellStart"/>
            <w:r w:rsidR="00321F51" w:rsidRPr="00321F51">
              <w:rPr>
                <w:rFonts w:ascii="Cambria" w:hAnsi="Cambria"/>
                <w:kern w:val="2"/>
                <w:sz w:val="22"/>
                <w:szCs w:val="22"/>
              </w:rPr>
              <w:t>parenterinės</w:t>
            </w:r>
            <w:proofErr w:type="spellEnd"/>
            <w:r w:rsidR="00321F51" w:rsidRPr="00321F51">
              <w:rPr>
                <w:rFonts w:ascii="Cambria" w:hAnsi="Cambria"/>
                <w:kern w:val="2"/>
                <w:sz w:val="22"/>
                <w:szCs w:val="22"/>
              </w:rPr>
              <w:t xml:space="preserve"> mitybos pompai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2F34A97B" w:rsidR="005A5832" w:rsidRPr="00FA5161" w:rsidRDefault="00321F51" w:rsidP="0092748B">
            <w:pPr>
              <w:rPr>
                <w:rFonts w:ascii="Cambria" w:hAnsi="Cambria"/>
                <w:kern w:val="2"/>
                <w:sz w:val="22"/>
                <w:szCs w:val="22"/>
              </w:rPr>
            </w:pPr>
            <w:r w:rsidRPr="003C7D0B">
              <w:rPr>
                <w:rFonts w:ascii="Cambria" w:hAnsi="Cambria"/>
                <w:kern w:val="2"/>
                <w:sz w:val="22"/>
                <w:szCs w:val="22"/>
              </w:rPr>
              <w:t xml:space="preserve">Lašinimo sistema tūrinei </w:t>
            </w:r>
            <w:proofErr w:type="spellStart"/>
            <w:r w:rsidRPr="003C7D0B">
              <w:rPr>
                <w:rFonts w:ascii="Cambria" w:hAnsi="Cambria"/>
                <w:kern w:val="2"/>
                <w:sz w:val="22"/>
                <w:szCs w:val="22"/>
              </w:rPr>
              <w:t>parenterinės</w:t>
            </w:r>
            <w:proofErr w:type="spellEnd"/>
            <w:r w:rsidRPr="003C7D0B">
              <w:rPr>
                <w:rFonts w:ascii="Cambria" w:hAnsi="Cambria"/>
                <w:kern w:val="2"/>
                <w:sz w:val="22"/>
                <w:szCs w:val="22"/>
              </w:rPr>
              <w:t xml:space="preserve"> mitybos pompai</w:t>
            </w:r>
            <w:r w:rsidRPr="00FA5161">
              <w:rPr>
                <w:rFonts w:ascii="Cambria" w:hAnsi="Cambria"/>
                <w:kern w:val="2"/>
                <w:sz w:val="22"/>
                <w:szCs w:val="22"/>
              </w:rPr>
              <w:t xml:space="preserve">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bookmarkStart w:id="0" w:name="_GoBack"/>
            <w:bookmarkEnd w:id="0"/>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9D09BD"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w:t>
            </w:r>
            <w:r w:rsidRPr="00FA5161">
              <w:rPr>
                <w:rFonts w:ascii="Cambria" w:hAnsi="Cambria"/>
                <w:kern w:val="2"/>
                <w:sz w:val="22"/>
                <w:szCs w:val="22"/>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103B74E" w:rsidR="00F82859" w:rsidRPr="00FA5161" w:rsidRDefault="00BA54F0" w:rsidP="00F82859">
      <w:pPr>
        <w:jc w:val="center"/>
        <w:rPr>
          <w:rFonts w:ascii="Cambria" w:hAnsi="Cambria"/>
          <w:b/>
          <w:sz w:val="22"/>
          <w:szCs w:val="22"/>
        </w:rPr>
      </w:pPr>
      <w:r w:rsidRPr="00FA5161">
        <w:rPr>
          <w:rFonts w:ascii="Cambria" w:hAnsi="Cambria"/>
          <w:b/>
          <w:sz w:val="22"/>
          <w:szCs w:val="22"/>
        </w:rPr>
        <w:t>TECHNINĖ SPECIFIKACIJA</w:t>
      </w:r>
      <w:r w:rsidR="003C7D0B">
        <w:rPr>
          <w:rFonts w:ascii="Cambria" w:hAnsi="Cambria"/>
          <w:b/>
          <w:sz w:val="22"/>
          <w:szCs w:val="22"/>
        </w:rPr>
        <w:t xml:space="preserve"> </w:t>
      </w:r>
      <w:r w:rsidR="003C7D0B" w:rsidRPr="003C7D0B">
        <w:rPr>
          <w:rFonts w:ascii="Cambria" w:hAnsi="Cambria"/>
          <w:b/>
          <w:sz w:val="22"/>
          <w:szCs w:val="22"/>
        </w:rPr>
        <w:t>LAŠINIMO SISTEMAI TŪRINEI PARENTERINĖS MITYBOS POMPAI ĮSIGYTI</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2377" w14:textId="77777777" w:rsidR="009D09BD" w:rsidRDefault="009D09BD">
      <w:pPr>
        <w:rPr>
          <w:kern w:val="2"/>
          <w:sz w:val="22"/>
          <w:szCs w:val="22"/>
          <w:lang w:val="en-US"/>
        </w:rPr>
      </w:pPr>
      <w:r>
        <w:rPr>
          <w:kern w:val="2"/>
          <w:sz w:val="22"/>
          <w:szCs w:val="22"/>
          <w:lang w:val="en-US"/>
        </w:rPr>
        <w:separator/>
      </w:r>
    </w:p>
  </w:endnote>
  <w:endnote w:type="continuationSeparator" w:id="0">
    <w:p w14:paraId="426E9762" w14:textId="77777777" w:rsidR="009D09BD" w:rsidRDefault="009D09BD">
      <w:pPr>
        <w:rPr>
          <w:kern w:val="2"/>
          <w:sz w:val="22"/>
          <w:szCs w:val="22"/>
          <w:lang w:val="en-US"/>
        </w:rPr>
      </w:pPr>
      <w:r>
        <w:rPr>
          <w:kern w:val="2"/>
          <w:sz w:val="22"/>
          <w:szCs w:val="22"/>
          <w:lang w:val="en-US"/>
        </w:rPr>
        <w:continuationSeparator/>
      </w:r>
    </w:p>
  </w:endnote>
  <w:endnote w:type="continuationNotice" w:id="1">
    <w:p w14:paraId="0367C1D8" w14:textId="77777777" w:rsidR="009D09BD" w:rsidRDefault="009D09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9274" w14:textId="77777777" w:rsidR="009D09BD" w:rsidRDefault="009D09BD">
      <w:pPr>
        <w:rPr>
          <w:kern w:val="2"/>
          <w:sz w:val="22"/>
          <w:szCs w:val="22"/>
          <w:lang w:val="en-US"/>
        </w:rPr>
      </w:pPr>
      <w:r>
        <w:rPr>
          <w:kern w:val="2"/>
          <w:sz w:val="22"/>
          <w:szCs w:val="22"/>
          <w:lang w:val="en-US"/>
        </w:rPr>
        <w:separator/>
      </w:r>
    </w:p>
  </w:footnote>
  <w:footnote w:type="continuationSeparator" w:id="0">
    <w:p w14:paraId="4C0B2E02" w14:textId="77777777" w:rsidR="009D09BD" w:rsidRDefault="009D09BD">
      <w:pPr>
        <w:rPr>
          <w:kern w:val="2"/>
          <w:sz w:val="22"/>
          <w:szCs w:val="22"/>
          <w:lang w:val="en-US"/>
        </w:rPr>
      </w:pPr>
      <w:r>
        <w:rPr>
          <w:kern w:val="2"/>
          <w:sz w:val="22"/>
          <w:szCs w:val="22"/>
          <w:lang w:val="en-US"/>
        </w:rPr>
        <w:continuationSeparator/>
      </w:r>
    </w:p>
  </w:footnote>
  <w:footnote w:type="continuationNotice" w:id="1">
    <w:p w14:paraId="2B3BED7C" w14:textId="77777777" w:rsidR="009D09BD" w:rsidRDefault="009D09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1F51"/>
    <w:rsid w:val="0032536E"/>
    <w:rsid w:val="003458B1"/>
    <w:rsid w:val="00345C7E"/>
    <w:rsid w:val="00346FD0"/>
    <w:rsid w:val="00364BA6"/>
    <w:rsid w:val="00377E43"/>
    <w:rsid w:val="003A0155"/>
    <w:rsid w:val="003A411C"/>
    <w:rsid w:val="003B5B2B"/>
    <w:rsid w:val="003B7A86"/>
    <w:rsid w:val="003C05AF"/>
    <w:rsid w:val="003C7D0B"/>
    <w:rsid w:val="003D68D8"/>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09BD"/>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CA81CB-68E3-492F-B103-087DA7EA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12238</Words>
  <Characters>6976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64</cp:revision>
  <dcterms:created xsi:type="dcterms:W3CDTF">2024-03-26T12:45:00Z</dcterms:created>
  <dcterms:modified xsi:type="dcterms:W3CDTF">2025-10-07T11:09:00Z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