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D7AE" w14:textId="2F838E9A" w:rsidR="0067430E" w:rsidRDefault="0067430E" w:rsidP="0067430E">
      <w:pPr>
        <w:pStyle w:val="Betarp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430E">
        <w:rPr>
          <w:rFonts w:ascii="Times New Roman" w:hAnsi="Times New Roman" w:cs="Times New Roman"/>
          <w:b/>
          <w:sz w:val="24"/>
          <w:szCs w:val="24"/>
        </w:rPr>
        <w:t>APYTALAUKIO DVARO SODYBOS RŪMŲ (U.K. KVR 981) AVARINĖS BŪKLĖS PADARINIŲ ŠALINIMO IR KONSTRUKCIJŲ IŠRAMSTYMO DARB</w:t>
      </w:r>
      <w:r>
        <w:rPr>
          <w:rFonts w:ascii="Times New Roman" w:hAnsi="Times New Roman" w:cs="Times New Roman"/>
          <w:b/>
          <w:sz w:val="24"/>
          <w:szCs w:val="24"/>
        </w:rPr>
        <w:t>Ų</w:t>
      </w:r>
    </w:p>
    <w:p w14:paraId="521FE631" w14:textId="4C5C04E6" w:rsidR="0067430E" w:rsidRPr="0067430E" w:rsidRDefault="0067430E" w:rsidP="0067430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30E">
        <w:rPr>
          <w:rFonts w:ascii="Times New Roman" w:hAnsi="Times New Roman" w:cs="Times New Roman"/>
          <w:b/>
          <w:color w:val="auto"/>
          <w:sz w:val="24"/>
          <w:szCs w:val="24"/>
        </w:rPr>
        <w:t>TECHNINĖ SPECIFIKACIJA</w:t>
      </w:r>
    </w:p>
    <w:p w14:paraId="0BF61DF6" w14:textId="77777777" w:rsidR="007E002E" w:rsidRPr="00C9280A" w:rsidRDefault="007E002E" w:rsidP="00A96D33">
      <w:pPr>
        <w:pStyle w:val="Betarp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B0CAC9" w14:textId="58C4AB8D" w:rsidR="00D656CE" w:rsidRPr="00C9280A" w:rsidRDefault="00FA3CED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Objektas</w:t>
      </w:r>
      <w:r w:rsidRPr="00C9280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23632DC" w14:textId="5FEF29AC" w:rsidR="003B5D46" w:rsidRPr="00C9280A" w:rsidRDefault="007E002E" w:rsidP="00A96D33">
      <w:pPr>
        <w:pStyle w:val="Betarp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</w:t>
      </w:r>
      <w:r w:rsidR="00D656CE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proofErr w:type="spellStart"/>
      <w:r w:rsidR="004C0190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Apytalaukio</w:t>
      </w:r>
      <w:proofErr w:type="spellEnd"/>
      <w:r w:rsidR="004C0190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dvaro sodybos rūmai</w:t>
      </w:r>
      <w:r w:rsidR="00D656CE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(</w:t>
      </w:r>
      <w:proofErr w:type="spellStart"/>
      <w:r w:rsidR="00D656CE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u.k</w:t>
      </w:r>
      <w:proofErr w:type="spellEnd"/>
      <w:r w:rsidR="00D656CE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. KVR </w:t>
      </w:r>
      <w:r w:rsidR="004C0190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981</w:t>
      </w:r>
      <w:r w:rsidR="00D656CE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)</w:t>
      </w:r>
      <w:r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;</w:t>
      </w:r>
    </w:p>
    <w:p w14:paraId="5F250061" w14:textId="77777777" w:rsidR="003B5D46" w:rsidRPr="00C9280A" w:rsidRDefault="003B5D46" w:rsidP="00A96D33">
      <w:pPr>
        <w:pStyle w:val="Betarp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7E3BD18" w14:textId="77777777" w:rsidR="00153D27" w:rsidRPr="00C9280A" w:rsidRDefault="007E002E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FA3CED"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A3CED" w:rsidRPr="00C9280A">
        <w:rPr>
          <w:rFonts w:ascii="Times New Roman" w:hAnsi="Times New Roman" w:cs="Times New Roman"/>
          <w:b/>
          <w:color w:val="auto"/>
          <w:sz w:val="24"/>
          <w:szCs w:val="24"/>
        </w:rPr>
        <w:t>Užsakovas/statytojas:</w:t>
      </w:r>
      <w:r w:rsidR="00FA3CED" w:rsidRPr="00C928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98C83E6" w14:textId="308D2707" w:rsidR="00FA3CED" w:rsidRPr="00C9280A" w:rsidRDefault="00153D27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FA3CED" w:rsidRPr="00C9280A">
        <w:rPr>
          <w:rFonts w:ascii="Times New Roman" w:hAnsi="Times New Roman" w:cs="Times New Roman"/>
          <w:color w:val="auto"/>
          <w:sz w:val="24"/>
          <w:szCs w:val="24"/>
        </w:rPr>
        <w:t>Kėdainių rajono savivaldybės administracija.</w:t>
      </w:r>
      <w:r w:rsidR="00CA7FAF" w:rsidRPr="00C928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36CF29A" w14:textId="77777777" w:rsidR="00153D27" w:rsidRPr="00C9280A" w:rsidRDefault="00153D27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0EACCF4C" w14:textId="4C5E50FF" w:rsidR="003B5D46" w:rsidRPr="00C9280A" w:rsidRDefault="00153D27" w:rsidP="00A96D33">
      <w:pPr>
        <w:pStyle w:val="Betarp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3. Numatomas finansavimo šaltinis: </w:t>
      </w:r>
    </w:p>
    <w:p w14:paraId="10509602" w14:textId="7092FDD7" w:rsidR="00153D27" w:rsidRPr="00C9280A" w:rsidRDefault="00153D27" w:rsidP="00A96D33">
      <w:pPr>
        <w:pStyle w:val="Betarp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</w:t>
      </w:r>
      <w:r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Kėdainių rajono savivaldybės biudžeto lėšos.</w:t>
      </w:r>
    </w:p>
    <w:p w14:paraId="59168754" w14:textId="77777777" w:rsidR="00153D27" w:rsidRPr="00C9280A" w:rsidRDefault="00153D27" w:rsidP="00A96D33">
      <w:pPr>
        <w:pStyle w:val="Betarp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1C52E0EC" w14:textId="0921EEEA" w:rsidR="00F43BF2" w:rsidRPr="00C9280A" w:rsidRDefault="00153D27" w:rsidP="00A96D33">
      <w:pPr>
        <w:pStyle w:val="Betarp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FA3CED"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>. Esama situacija:</w:t>
      </w:r>
    </w:p>
    <w:p w14:paraId="301B653F" w14:textId="48631DE5" w:rsidR="004C0190" w:rsidRPr="00C9280A" w:rsidRDefault="00153D27" w:rsidP="0067430E">
      <w:pPr>
        <w:pStyle w:val="Betarp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="00F43BF2" w:rsidRPr="00C928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C0190" w:rsidRPr="00C9280A">
        <w:rPr>
          <w:rFonts w:ascii="Times New Roman" w:hAnsi="Times New Roman" w:cs="Times New Roman"/>
          <w:color w:val="auto"/>
          <w:sz w:val="24"/>
          <w:szCs w:val="24"/>
        </w:rPr>
        <w:t xml:space="preserve">2022 metais </w:t>
      </w:r>
      <w:proofErr w:type="spellStart"/>
      <w:r w:rsidR="00D40EAE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Apytalaukio</w:t>
      </w:r>
      <w:proofErr w:type="spellEnd"/>
      <w:r w:rsidR="00D40EAE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dvaro sodybos rūmų šiaurės korpuse</w:t>
      </w:r>
      <w:r w:rsidR="00D40EAE" w:rsidRPr="00C928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190" w:rsidRPr="00C9280A">
        <w:rPr>
          <w:rFonts w:ascii="Times New Roman" w:hAnsi="Times New Roman" w:cs="Times New Roman"/>
          <w:color w:val="auto"/>
          <w:sz w:val="24"/>
          <w:szCs w:val="24"/>
        </w:rPr>
        <w:t>kilus gaisrui</w:t>
      </w:r>
      <w:r w:rsidR="004C0190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, gaisro likvidavimo metu buvo pažeistos statinio</w:t>
      </w:r>
      <w:r w:rsidR="005D6BA2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laikančiosios</w:t>
      </w:r>
      <w:r w:rsidR="004C0190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konstrukcijos, stog</w:t>
      </w:r>
      <w:r w:rsidR="00640C03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</w:t>
      </w:r>
      <w:r w:rsidR="004C0190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</w:t>
      </w:r>
      <w:r w:rsidR="00640C03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,</w:t>
      </w:r>
      <w:r w:rsidR="004C0190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D40EAE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tarpaukštinės </w:t>
      </w:r>
      <w:r w:rsidR="004C0190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perdangos. 2023 metais </w:t>
      </w:r>
      <w:r w:rsidR="005D6BA2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avarinė būklė, buvo stabilizuota. 2025 rugsėjį įvyko nauja statinio </w:t>
      </w:r>
      <w:r w:rsidR="00324978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3 aukšto </w:t>
      </w:r>
      <w:r w:rsidR="005D6BA2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laikančiųjų konstrukcijų - perdangos griūtis.</w:t>
      </w:r>
      <w:r w:rsidR="00324978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Lūžus </w:t>
      </w:r>
      <w:r w:rsidR="00640C03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3 aukšto </w:t>
      </w:r>
      <w:r w:rsidR="00324978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perdangos balkiams, konstrukcija </w:t>
      </w:r>
      <w:r w:rsidR="00640C03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krisdama pramušė 2 aukšto perdangoje skylę ir </w:t>
      </w:r>
      <w:r w:rsidR="00324978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įkrito į </w:t>
      </w:r>
      <w:r w:rsidR="00640C03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1 aukšto patalpas. Dalis </w:t>
      </w:r>
      <w:r w:rsidR="00D40EAE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lūžusių </w:t>
      </w:r>
      <w:r w:rsidR="00640C03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perdangos konstrukcijų pažeistos liko kyboti.</w:t>
      </w:r>
      <w:r w:rsidR="004724DC" w:rsidRPr="00C9280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</w:p>
    <w:p w14:paraId="116003CE" w14:textId="77777777" w:rsidR="00761BA3" w:rsidRPr="00C9280A" w:rsidRDefault="00761BA3" w:rsidP="00A96D33">
      <w:pPr>
        <w:pStyle w:val="Betarp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9D66476" w14:textId="77777777" w:rsidR="00640C03" w:rsidRPr="00C9280A" w:rsidRDefault="003F40A5" w:rsidP="00A96D33">
      <w:pPr>
        <w:pStyle w:val="Betarp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="00640C03" w:rsidRPr="00C9280A">
        <w:rPr>
          <w:rFonts w:ascii="Times New Roman" w:hAnsi="Times New Roman" w:cs="Times New Roman"/>
          <w:b/>
          <w:color w:val="auto"/>
          <w:sz w:val="24"/>
          <w:szCs w:val="24"/>
        </w:rPr>
        <w:t>Darbų</w:t>
      </w:r>
      <w:r w:rsidRPr="00C928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tikslas: </w:t>
      </w:r>
    </w:p>
    <w:p w14:paraId="537F68A3" w14:textId="4C82DEA9" w:rsidR="007D5263" w:rsidRPr="00C9280A" w:rsidRDefault="00640C03" w:rsidP="0067430E">
      <w:pPr>
        <w:pStyle w:val="Betarp"/>
        <w:ind w:left="28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bCs/>
          <w:color w:val="auto"/>
          <w:sz w:val="24"/>
          <w:szCs w:val="24"/>
        </w:rPr>
        <w:t>Išvalyti statinio patalpas nuo įgriuvusių konstrukcijų</w:t>
      </w:r>
      <w:r w:rsidR="00FD6D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ir stabilizuoti statinio konstrukcijų būklę</w:t>
      </w:r>
      <w:r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Vadovaujantis technine specifikacija ir jos priedais, nuardžius esamų konstrukcijų sluoksnius vietoje įvertinti esamų konstrukcijų būklę, ją stabilizuoti </w:t>
      </w:r>
      <w:r w:rsidR="00FD6D71">
        <w:rPr>
          <w:rFonts w:ascii="Times New Roman" w:hAnsi="Times New Roman" w:cs="Times New Roman"/>
          <w:bCs/>
          <w:color w:val="auto"/>
          <w:sz w:val="24"/>
          <w:szCs w:val="24"/>
        </w:rPr>
        <w:t>su</w:t>
      </w:r>
      <w:r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ramstant. </w:t>
      </w:r>
      <w:r w:rsidR="004724DC" w:rsidRPr="00C9280A">
        <w:rPr>
          <w:rFonts w:ascii="Times New Roman" w:hAnsi="Times New Roman" w:cs="Times New Roman"/>
          <w:bCs/>
          <w:color w:val="auto"/>
          <w:sz w:val="24"/>
          <w:szCs w:val="24"/>
        </w:rPr>
        <w:t>1, 2, 3 aukštuose išramstyti esamas laikančiąsias perdang</w:t>
      </w:r>
      <w:r w:rsidR="00D40EAE" w:rsidRPr="00C9280A">
        <w:rPr>
          <w:rFonts w:ascii="Times New Roman" w:hAnsi="Times New Roman" w:cs="Times New Roman"/>
          <w:bCs/>
          <w:color w:val="auto"/>
          <w:sz w:val="24"/>
          <w:szCs w:val="24"/>
        </w:rPr>
        <w:t>os</w:t>
      </w:r>
      <w:r w:rsidR="004724DC"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konstrukcijas ir suramstyti </w:t>
      </w:r>
      <w:r w:rsidR="00D40EAE"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kabančia laikiną </w:t>
      </w:r>
      <w:r w:rsidR="004724DC"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stogo konstrukciją. Įrengti pagalbinius </w:t>
      </w:r>
      <w:r w:rsidR="00D40EAE"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praėjimo </w:t>
      </w:r>
      <w:r w:rsidR="004724DC" w:rsidRPr="00C928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takus pritaikytus konstrukcijų  apžiūrai. </w:t>
      </w:r>
    </w:p>
    <w:p w14:paraId="39E57BE0" w14:textId="77777777" w:rsidR="007D5263" w:rsidRPr="00C9280A" w:rsidRDefault="007D5263" w:rsidP="00A96D33">
      <w:pPr>
        <w:pStyle w:val="Betarp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A4E7FA0" w14:textId="3CFC618E" w:rsidR="000B41A4" w:rsidRPr="00C9280A" w:rsidRDefault="001A02E2" w:rsidP="00A96D33">
      <w:pPr>
        <w:pStyle w:val="Betarp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6</w:t>
      </w:r>
      <w:r w:rsidR="00FA3CED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. </w:t>
      </w:r>
      <w:r w:rsidR="00606EFB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Užduotis </w:t>
      </w:r>
      <w:r w:rsidR="00070D77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darbams</w:t>
      </w:r>
      <w:r w:rsidR="00606EFB" w:rsidRPr="00C92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:</w:t>
      </w:r>
    </w:p>
    <w:p w14:paraId="28B9C6A9" w14:textId="77777777" w:rsidR="001F21EB" w:rsidRPr="00C9280A" w:rsidRDefault="001F21EB" w:rsidP="000B41A4">
      <w:pPr>
        <w:pStyle w:val="Betarp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511"/>
        <w:gridCol w:w="2368"/>
        <w:gridCol w:w="6469"/>
      </w:tblGrid>
      <w:tr w:rsidR="00C9280A" w:rsidRPr="00C9280A" w14:paraId="16B077EB" w14:textId="77777777" w:rsidTr="0067430E">
        <w:tc>
          <w:tcPr>
            <w:tcW w:w="511" w:type="dxa"/>
          </w:tcPr>
          <w:p w14:paraId="210D5C21" w14:textId="2631ED5A" w:rsidR="001F21EB" w:rsidRPr="00C9280A" w:rsidRDefault="001F21EB" w:rsidP="000B41A4">
            <w:pPr>
              <w:pStyle w:val="Betarp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2368" w:type="dxa"/>
          </w:tcPr>
          <w:p w14:paraId="18940EFE" w14:textId="167B6DD1" w:rsidR="001F21EB" w:rsidRPr="00C9280A" w:rsidRDefault="001F21EB" w:rsidP="001F21EB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Pavadinimas</w:t>
            </w:r>
          </w:p>
        </w:tc>
        <w:tc>
          <w:tcPr>
            <w:tcW w:w="6469" w:type="dxa"/>
          </w:tcPr>
          <w:p w14:paraId="030FF82D" w14:textId="637824B5" w:rsidR="001F21EB" w:rsidRPr="00C9280A" w:rsidRDefault="001F21EB" w:rsidP="001F21EB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Reikalavimai</w:t>
            </w:r>
          </w:p>
        </w:tc>
      </w:tr>
      <w:tr w:rsidR="00C9280A" w:rsidRPr="00C9280A" w14:paraId="503044EF" w14:textId="77777777" w:rsidTr="00C56C69">
        <w:tc>
          <w:tcPr>
            <w:tcW w:w="9348" w:type="dxa"/>
            <w:gridSpan w:val="3"/>
          </w:tcPr>
          <w:p w14:paraId="2202602C" w14:textId="3BEDC5A9" w:rsidR="007D5263" w:rsidRPr="00C9280A" w:rsidRDefault="007D5263" w:rsidP="001F21EB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Bendra informacija apie sutarties objektą</w:t>
            </w:r>
          </w:p>
        </w:tc>
      </w:tr>
      <w:tr w:rsidR="00C9280A" w:rsidRPr="00C9280A" w14:paraId="2810A434" w14:textId="77777777" w:rsidTr="0067430E">
        <w:tc>
          <w:tcPr>
            <w:tcW w:w="511" w:type="dxa"/>
          </w:tcPr>
          <w:p w14:paraId="0AF5343D" w14:textId="6979B973" w:rsidR="001F21EB" w:rsidRPr="00C9280A" w:rsidRDefault="0030002C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68" w:type="dxa"/>
          </w:tcPr>
          <w:p w14:paraId="7BE1C5AC" w14:textId="1423BB56" w:rsidR="001F21EB" w:rsidRPr="00C9280A" w:rsidRDefault="00070D77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Kultūros paveldo objektas</w:t>
            </w:r>
          </w:p>
        </w:tc>
        <w:tc>
          <w:tcPr>
            <w:tcW w:w="6469" w:type="dxa"/>
          </w:tcPr>
          <w:p w14:paraId="1F695C8F" w14:textId="170548B1" w:rsidR="001F21EB" w:rsidRPr="00C9280A" w:rsidRDefault="00070D77" w:rsidP="000B41A4">
            <w:pPr>
              <w:pStyle w:val="Betar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Apytalaukio</w:t>
            </w:r>
            <w:proofErr w:type="spellEnd"/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dvaro sodybos rūmai (</w:t>
            </w:r>
            <w:proofErr w:type="spellStart"/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u.k</w:t>
            </w:r>
            <w:proofErr w:type="spellEnd"/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. KVR 981) </w:t>
            </w:r>
          </w:p>
        </w:tc>
      </w:tr>
      <w:tr w:rsidR="00C9280A" w:rsidRPr="00C9280A" w14:paraId="79DE5FDC" w14:textId="77777777" w:rsidTr="0067430E">
        <w:tc>
          <w:tcPr>
            <w:tcW w:w="511" w:type="dxa"/>
          </w:tcPr>
          <w:p w14:paraId="217838F5" w14:textId="7DCC56E7" w:rsidR="001F21EB" w:rsidRPr="00C9280A" w:rsidRDefault="0030002C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368" w:type="dxa"/>
          </w:tcPr>
          <w:p w14:paraId="1C2DCF38" w14:textId="7D9D3B9E" w:rsidR="001F21EB" w:rsidRPr="00C9280A" w:rsidRDefault="001F21EB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Statinio kategorija</w:t>
            </w:r>
          </w:p>
        </w:tc>
        <w:tc>
          <w:tcPr>
            <w:tcW w:w="6469" w:type="dxa"/>
          </w:tcPr>
          <w:p w14:paraId="2473645F" w14:textId="5F7920DF" w:rsidR="001F21EB" w:rsidRPr="00C9280A" w:rsidRDefault="001F21EB" w:rsidP="000B41A4">
            <w:pPr>
              <w:pStyle w:val="Betarp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Ypatingieji statiniai (kultūros paveldo statiniai)</w:t>
            </w:r>
          </w:p>
        </w:tc>
      </w:tr>
      <w:tr w:rsidR="00C9280A" w:rsidRPr="00C9280A" w14:paraId="3F4D6BCA" w14:textId="77777777" w:rsidTr="0067430E">
        <w:tc>
          <w:tcPr>
            <w:tcW w:w="511" w:type="dxa"/>
          </w:tcPr>
          <w:p w14:paraId="18368BD5" w14:textId="7B185F4C" w:rsidR="001F21EB" w:rsidRPr="00C9280A" w:rsidRDefault="003D1E9F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3</w:t>
            </w:r>
            <w:r w:rsidR="0030002C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68" w:type="dxa"/>
          </w:tcPr>
          <w:p w14:paraId="7F9F2425" w14:textId="34E19779" w:rsidR="001F21EB" w:rsidRPr="00C9280A" w:rsidRDefault="003D1E9F" w:rsidP="003D1E9F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Tvarkybos darbų</w:t>
            </w:r>
            <w:r w:rsidR="001F21EB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rūšis</w:t>
            </w:r>
          </w:p>
        </w:tc>
        <w:tc>
          <w:tcPr>
            <w:tcW w:w="6469" w:type="dxa"/>
          </w:tcPr>
          <w:p w14:paraId="173AA15F" w14:textId="77652576" w:rsidR="001F21EB" w:rsidRPr="00C9280A" w:rsidRDefault="003D1E9F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Avarijos grėsmės pašalinimas</w:t>
            </w:r>
          </w:p>
        </w:tc>
      </w:tr>
      <w:tr w:rsidR="00C9280A" w:rsidRPr="00C9280A" w14:paraId="61769E58" w14:textId="77777777" w:rsidTr="00C56C69">
        <w:tc>
          <w:tcPr>
            <w:tcW w:w="9348" w:type="dxa"/>
            <w:gridSpan w:val="3"/>
          </w:tcPr>
          <w:p w14:paraId="0B98014D" w14:textId="1A0890B6" w:rsidR="007D5263" w:rsidRPr="00C9280A" w:rsidRDefault="003D1E9F" w:rsidP="007D526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Darbų</w:t>
            </w:r>
            <w:r w:rsidR="007D5263" w:rsidRPr="00C928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 xml:space="preserve"> apimtis, trukmė ir Statytojo pateikiami duomenys</w:t>
            </w:r>
          </w:p>
        </w:tc>
      </w:tr>
      <w:tr w:rsidR="00C9280A" w:rsidRPr="00C9280A" w14:paraId="4784967B" w14:textId="77777777" w:rsidTr="0067430E">
        <w:tc>
          <w:tcPr>
            <w:tcW w:w="511" w:type="dxa"/>
          </w:tcPr>
          <w:p w14:paraId="2D95432C" w14:textId="66035819" w:rsidR="001F21EB" w:rsidRPr="00C9280A" w:rsidRDefault="00D40EAE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4</w:t>
            </w:r>
            <w:r w:rsidR="0030002C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68" w:type="dxa"/>
          </w:tcPr>
          <w:p w14:paraId="523ECAEC" w14:textId="3585ADCB" w:rsidR="001F21EB" w:rsidRPr="00C9280A" w:rsidRDefault="003D1E9F" w:rsidP="00FD1DEE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Darbų apimtys</w:t>
            </w:r>
          </w:p>
        </w:tc>
        <w:tc>
          <w:tcPr>
            <w:tcW w:w="6469" w:type="dxa"/>
          </w:tcPr>
          <w:p w14:paraId="5DB03AD2" w14:textId="1D082871" w:rsidR="001F21EB" w:rsidRPr="00C9280A" w:rsidRDefault="007C5299" w:rsidP="00D40EAE">
            <w:pPr>
              <w:pStyle w:val="Betarp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Tvarkybos</w:t>
            </w:r>
            <w:r w:rsidR="00FD1DE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darbų 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metu (avarijos grėsmės pašalinime)</w:t>
            </w:r>
            <w:r w:rsidR="00FD1DE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vykdomi darbai</w:t>
            </w:r>
            <w:r w:rsidR="00FD1DE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privalo nepažeisti </w:t>
            </w:r>
            <w:r w:rsidR="00D40EA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nekilnojamojo kultūros paveldo </w:t>
            </w:r>
            <w:r w:rsidR="00FD1DE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vertinimo tarybos akte registruotų vertingųjų savybių</w:t>
            </w:r>
            <w:r w:rsidR="00FD6D7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.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FD6D7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J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ei kyla </w:t>
            </w:r>
            <w:r w:rsidR="00FD6D71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grėsmė 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jų išsaugojimui, būtina sprendinius suderinti su kultūros paveldo departamentu.</w:t>
            </w:r>
            <w:r w:rsidR="00FD1DE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Darbų apimtys detalizuojam</w:t>
            </w:r>
            <w:r w:rsidR="00B223D4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os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techninė</w:t>
            </w:r>
            <w:r w:rsidR="00D40EA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je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D40EAE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užduotyje ir techninės specifikacijos</w:t>
            </w:r>
            <w:r w:rsidR="003D1E9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prieduose. </w:t>
            </w:r>
          </w:p>
          <w:p w14:paraId="0D163811" w14:textId="3066785A" w:rsidR="00FD1DEE" w:rsidRPr="00C9280A" w:rsidRDefault="00C17C2F" w:rsidP="00D40EAE">
            <w:pPr>
              <w:pStyle w:val="Betarp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Šiaurės korpuso</w:t>
            </w:r>
            <w:r w:rsidR="00B223D4" w:rsidRPr="00C928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 xml:space="preserve"> avarinės būklės likvidavimo darbų metų numatyti:</w:t>
            </w:r>
            <w:r w:rsidR="00615879" w:rsidRPr="00C928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 xml:space="preserve"> </w:t>
            </w:r>
          </w:p>
          <w:p w14:paraId="0ED5C889" w14:textId="6D313DF5" w:rsidR="00615879" w:rsidRPr="00C9280A" w:rsidRDefault="007D41D6" w:rsidP="00D40EAE">
            <w:pPr>
              <w:pStyle w:val="Betarp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-</w:t>
            </w:r>
            <w:r w:rsidR="00007892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374F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N</w:t>
            </w:r>
            <w:r w:rsidR="00007892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umatyti </w:t>
            </w:r>
            <w:r w:rsidR="00615879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įlūžusių perdangos konstrukcijų ardymo, </w:t>
            </w:r>
            <w:r w:rsidR="00C83693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ir šalinimo </w:t>
            </w:r>
            <w:r w:rsidR="00615879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darbus. </w:t>
            </w:r>
            <w:r w:rsidR="00210FA9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Numatant saugią</w:t>
            </w:r>
            <w:r w:rsidR="005A3DA5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statinio eksploatacij</w:t>
            </w:r>
            <w:r w:rsidR="00210FA9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ą</w:t>
            </w:r>
            <w:r w:rsidR="006950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,</w:t>
            </w:r>
            <w:r w:rsidR="005A3DA5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suramstyti esamą išlikusią </w:t>
            </w:r>
            <w:r w:rsidR="00210FA9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šiaurės korpuso </w:t>
            </w:r>
            <w:r w:rsidR="005A3DA5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perdangos konstrukciją.</w:t>
            </w:r>
            <w:r w:rsidR="00210FA9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C539DC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Išvalyti patalpas nuo </w:t>
            </w:r>
            <w:r w:rsidR="006950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avarijos metu susidariusio </w:t>
            </w:r>
            <w:r w:rsidR="00C539DC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statybinio laužo.</w:t>
            </w:r>
          </w:p>
          <w:p w14:paraId="515C2300" w14:textId="510F971D" w:rsidR="00C17C2F" w:rsidRPr="00C9280A" w:rsidRDefault="00615879" w:rsidP="00D40EAE">
            <w:pPr>
              <w:pStyle w:val="Betarp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lastRenderedPageBreak/>
              <w:t xml:space="preserve">- </w:t>
            </w:r>
            <w:r w:rsidR="006950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Atidengti šiaurės korpuso laiptinių perdangos konstrukciją. </w:t>
            </w:r>
            <w:r w:rsidR="00C17C2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Įvertin</w:t>
            </w:r>
            <w:r w:rsidR="00C83693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us</w:t>
            </w:r>
            <w:r w:rsidR="00C17C2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perdangos būklę</w:t>
            </w:r>
            <w:r w:rsidR="00C83693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, </w:t>
            </w:r>
            <w:r w:rsidR="00C17C2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sumirkusius ar išpuvusius perdangos balkius pakeisti</w:t>
            </w:r>
            <w:r w:rsidR="00C83693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naujais, senus išpuvusius pašalinti</w:t>
            </w:r>
            <w:r w:rsidR="00C17C2F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. </w:t>
            </w:r>
            <w:r w:rsidR="00283CF1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Su</w:t>
            </w:r>
            <w:r w:rsidR="00C83693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ramstyti esamą perdangos konstrukciją, nepažeidžiant </w:t>
            </w:r>
            <w:r w:rsidR="00283CF1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vertingosios savybės </w:t>
            </w:r>
            <w:r w:rsidR="00C83693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laiptų konstrukcijos. </w:t>
            </w:r>
          </w:p>
          <w:p w14:paraId="0004AFDF" w14:textId="01C13FA6" w:rsidR="00C83693" w:rsidRPr="00C9280A" w:rsidRDefault="00C83693" w:rsidP="00D40EAE">
            <w:pPr>
              <w:pStyle w:val="Betarp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- </w:t>
            </w:r>
            <w:r w:rsidR="005A3DA5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Įvertinus esamą šiaurės korpuso stogo konstrukcijos būklę ją suramstyti.</w:t>
            </w:r>
            <w:r w:rsidR="00283CF1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</w:p>
          <w:p w14:paraId="555994AE" w14:textId="6DB3694A" w:rsidR="00283CF1" w:rsidRPr="00C9280A" w:rsidRDefault="00283CF1" w:rsidP="00D40EAE">
            <w:pPr>
              <w:pStyle w:val="Betarp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- Laiptinių ir šiaurės korpuso dalyje ties </w:t>
            </w:r>
            <w:r w:rsidR="00F267C4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išramstytomis konstrukcijomis įrengti eksploatuojamus praėjimo takus konstrukcijų būklei apžvelgti ir saugos darbams atlikti.</w:t>
            </w:r>
          </w:p>
          <w:p w14:paraId="140B502C" w14:textId="77777777" w:rsidR="00FD1DEE" w:rsidRDefault="005A3DA5" w:rsidP="00210FA9">
            <w:pPr>
              <w:pStyle w:val="Betarp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- Pirmojo aukšto 1-5, ir antro aukšto 1-31 patalpoje numatyti perdangos konstrukcijos išramstymo darbus.</w:t>
            </w:r>
          </w:p>
          <w:p w14:paraId="4DFB94B4" w14:textId="51B79ACD" w:rsidR="0069508F" w:rsidRPr="00C9280A" w:rsidRDefault="0069508F" w:rsidP="00210FA9">
            <w:pPr>
              <w:pStyle w:val="Betarp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- Iš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Apytalaukio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dvaro sodybos rūmų pašalin</w:t>
            </w:r>
            <w:r w:rsidR="00374F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ti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ir išvež</w:t>
            </w:r>
            <w:r w:rsidR="00374F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ti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visos avarijos metu susidarius</w:t>
            </w:r>
            <w:r w:rsidR="00374F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į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statybin</w:t>
            </w:r>
            <w:r w:rsidR="00374F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į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374F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laužą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D40EAE" w:rsidRPr="00C9280A" w14:paraId="3A443744" w14:textId="77777777" w:rsidTr="0067430E">
        <w:tc>
          <w:tcPr>
            <w:tcW w:w="511" w:type="dxa"/>
          </w:tcPr>
          <w:p w14:paraId="1DDF933B" w14:textId="22C0B87B" w:rsidR="007D5263" w:rsidRPr="00C9280A" w:rsidRDefault="00D40EAE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lastRenderedPageBreak/>
              <w:t>5</w:t>
            </w:r>
            <w:r w:rsidR="00E6446C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68" w:type="dxa"/>
          </w:tcPr>
          <w:p w14:paraId="25200997" w14:textId="6DE66D18" w:rsidR="007D5263" w:rsidRPr="00C9280A" w:rsidRDefault="003D1E9F" w:rsidP="000B41A4">
            <w:pPr>
              <w:pStyle w:val="Betarp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Darbų</w:t>
            </w:r>
            <w:r w:rsidR="004602C5" w:rsidRPr="00C9280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trukmė dienomis (mėnesiais)</w:t>
            </w:r>
          </w:p>
        </w:tc>
        <w:tc>
          <w:tcPr>
            <w:tcW w:w="6469" w:type="dxa"/>
          </w:tcPr>
          <w:p w14:paraId="591CA073" w14:textId="49651E19" w:rsidR="007D5263" w:rsidRPr="00C9280A" w:rsidRDefault="009E7F79" w:rsidP="0067430E">
            <w:pPr>
              <w:pStyle w:val="Betarp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C9280A">
              <w:rPr>
                <w:rFonts w:ascii="Times New Roman" w:eastAsia="Times New Roman" w:hAnsi="Times New Roman"/>
                <w:iCs/>
                <w:color w:val="auto"/>
                <w:kern w:val="3"/>
                <w:sz w:val="24"/>
                <w:szCs w:val="24"/>
                <w:lang w:eastAsia="en-US"/>
              </w:rPr>
              <w:t>mėnesiai</w:t>
            </w:r>
            <w:r w:rsidR="004602C5" w:rsidRPr="00C9280A">
              <w:rPr>
                <w:rFonts w:ascii="Times New Roman" w:eastAsia="Times New Roman" w:hAnsi="Times New Roman"/>
                <w:iCs/>
                <w:color w:val="auto"/>
                <w:kern w:val="3"/>
                <w:sz w:val="24"/>
                <w:szCs w:val="24"/>
                <w:lang w:eastAsia="en-US"/>
              </w:rPr>
              <w:t>.</w:t>
            </w:r>
          </w:p>
        </w:tc>
      </w:tr>
    </w:tbl>
    <w:p w14:paraId="1FE2EA1B" w14:textId="77777777" w:rsidR="00D55824" w:rsidRPr="00C9280A" w:rsidRDefault="00D55824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0103D4BD" w14:textId="22665213" w:rsidR="00374F65" w:rsidRPr="00C9280A" w:rsidRDefault="00210FA9" w:rsidP="0067430E">
      <w:pPr>
        <w:pStyle w:val="Betarp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color w:val="auto"/>
          <w:sz w:val="24"/>
          <w:szCs w:val="24"/>
        </w:rPr>
        <w:t>PRIDEDAMA:</w:t>
      </w:r>
      <w:r w:rsidR="006743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4F65" w:rsidRPr="00C9280A">
        <w:rPr>
          <w:rFonts w:ascii="Times New Roman" w:hAnsi="Times New Roman" w:cs="Times New Roman"/>
          <w:color w:val="auto"/>
          <w:sz w:val="24"/>
          <w:szCs w:val="24"/>
        </w:rPr>
        <w:t>Inventorinė bylą-atliekamų darbų zonos, 3 lapai</w:t>
      </w:r>
      <w:r w:rsidR="0067430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808CD5C" w14:textId="77777777" w:rsidR="00D55824" w:rsidRPr="00C9280A" w:rsidRDefault="00D55824" w:rsidP="00C56C69">
      <w:pPr>
        <w:pStyle w:val="Betarp"/>
        <w:ind w:left="993"/>
        <w:rPr>
          <w:rFonts w:ascii="Times New Roman" w:hAnsi="Times New Roman" w:cs="Times New Roman"/>
          <w:color w:val="auto"/>
          <w:sz w:val="24"/>
          <w:szCs w:val="24"/>
        </w:rPr>
      </w:pPr>
    </w:p>
    <w:p w14:paraId="6568BF14" w14:textId="77777777" w:rsidR="00D55824" w:rsidRPr="00C9280A" w:rsidRDefault="00D55824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777B8A85" w14:textId="77777777" w:rsidR="0070745D" w:rsidRPr="00C9280A" w:rsidRDefault="0070745D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53D83FAF" w14:textId="77777777" w:rsidR="0070745D" w:rsidRPr="00C9280A" w:rsidRDefault="0070745D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7B195C97" w14:textId="77777777" w:rsidR="008A5EA8" w:rsidRPr="00C9280A" w:rsidRDefault="008A5EA8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73578A9E" w14:textId="4A633D00" w:rsidR="00E6446C" w:rsidRPr="00C9280A" w:rsidRDefault="00E6446C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5C28010A" w14:textId="05BCD545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84E7C7A" w14:textId="360A27F1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EAB174D" w14:textId="44A9BB24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E7D2992" w14:textId="62B0A98B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2E651BBA" w14:textId="77E58D6D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C6F8D27" w14:textId="1E86E311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7C1CB1C" w14:textId="2099B309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3762D25" w14:textId="27AECC38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77DD49C5" w14:textId="7F640B11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C0978CC" w14:textId="526BFA0F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1364E406" w14:textId="208C741A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74ECC95" w14:textId="350B4061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0BB19153" w14:textId="3620C697" w:rsidR="00210FA9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7AE227F7" w14:textId="77777777" w:rsidR="0067430E" w:rsidRDefault="0067430E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73ADBE0E" w14:textId="77777777" w:rsidR="0067430E" w:rsidRDefault="0067430E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05B865B4" w14:textId="77777777" w:rsidR="0067430E" w:rsidRDefault="0067430E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572762F1" w14:textId="77777777" w:rsidR="0067430E" w:rsidRDefault="0067430E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5FCFBB42" w14:textId="77777777" w:rsidR="0067430E" w:rsidRDefault="0067430E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6FD09225" w14:textId="77777777" w:rsidR="0067430E" w:rsidRPr="00C9280A" w:rsidRDefault="0067430E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226F537E" w14:textId="23E2CAF0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E901B93" w14:textId="097EADB3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5BDA5097" w14:textId="6152A345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5FAF2524" w14:textId="77777777" w:rsidR="00210FA9" w:rsidRPr="00C9280A" w:rsidRDefault="00210FA9" w:rsidP="00FC7E2D">
      <w:pPr>
        <w:pStyle w:val="Betarp"/>
        <w:tabs>
          <w:tab w:val="left" w:pos="369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127A8F7" w14:textId="77777777" w:rsidR="00D55824" w:rsidRPr="00C9280A" w:rsidRDefault="00D55824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</w:p>
    <w:p w14:paraId="4AE8D9D1" w14:textId="07D2416B" w:rsidR="00FA3CED" w:rsidRPr="0067430E" w:rsidRDefault="00FA3CED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  <w:r w:rsidRPr="0067430E">
        <w:rPr>
          <w:rFonts w:ascii="Times New Roman" w:hAnsi="Times New Roman" w:cs="Times New Roman"/>
          <w:color w:val="auto"/>
          <w:sz w:val="24"/>
          <w:szCs w:val="24"/>
        </w:rPr>
        <w:t>Parengė</w:t>
      </w:r>
    </w:p>
    <w:p w14:paraId="61F8F706" w14:textId="77777777" w:rsidR="00FA3CED" w:rsidRPr="00C9280A" w:rsidRDefault="00FA3CED" w:rsidP="00A96D33">
      <w:pPr>
        <w:pStyle w:val="Betarp"/>
        <w:rPr>
          <w:rFonts w:ascii="Times New Roman" w:hAnsi="Times New Roman" w:cs="Times New Roman"/>
          <w:color w:val="auto"/>
          <w:sz w:val="24"/>
          <w:szCs w:val="24"/>
        </w:rPr>
      </w:pPr>
      <w:r w:rsidRPr="00C9280A">
        <w:rPr>
          <w:rFonts w:ascii="Times New Roman" w:hAnsi="Times New Roman" w:cs="Times New Roman"/>
          <w:color w:val="auto"/>
          <w:sz w:val="24"/>
          <w:szCs w:val="24"/>
        </w:rPr>
        <w:t>Architektūros ir urbanistikos skyriaus vyr. specialistas E. Jasenka</w:t>
      </w:r>
    </w:p>
    <w:p w14:paraId="272981B0" w14:textId="77777777" w:rsidR="006774EF" w:rsidRPr="00C9280A" w:rsidRDefault="006774EF" w:rsidP="00A96D33">
      <w:pPr>
        <w:pStyle w:val="Pagrindinistekstas21"/>
        <w:jc w:val="left"/>
      </w:pPr>
    </w:p>
    <w:sectPr w:rsidR="006774EF" w:rsidRPr="00C9280A" w:rsidSect="0055208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9222C"/>
    <w:multiLevelType w:val="hybridMultilevel"/>
    <w:tmpl w:val="5F664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6418"/>
    <w:multiLevelType w:val="multilevel"/>
    <w:tmpl w:val="8DEE86A2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B493956"/>
    <w:multiLevelType w:val="hybridMultilevel"/>
    <w:tmpl w:val="EBC8EF48"/>
    <w:lvl w:ilvl="0" w:tplc="3F0C2982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6326125"/>
    <w:multiLevelType w:val="hybridMultilevel"/>
    <w:tmpl w:val="8E001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2007"/>
    <w:multiLevelType w:val="multilevel"/>
    <w:tmpl w:val="E94C8EA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65638C"/>
    <w:multiLevelType w:val="multilevel"/>
    <w:tmpl w:val="72549CAE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552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165A57"/>
    <w:multiLevelType w:val="hybridMultilevel"/>
    <w:tmpl w:val="6A9A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86850"/>
    <w:multiLevelType w:val="hybridMultilevel"/>
    <w:tmpl w:val="C03C3FEA"/>
    <w:lvl w:ilvl="0" w:tplc="AB64BD9C">
      <w:start w:val="4"/>
      <w:numFmt w:val="decimal"/>
      <w:lvlText w:val="%1"/>
      <w:lvlJc w:val="left"/>
      <w:pPr>
        <w:ind w:left="720" w:hanging="360"/>
      </w:pPr>
      <w:rPr>
        <w:rFonts w:cs="Calibr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81FE2"/>
    <w:multiLevelType w:val="multilevel"/>
    <w:tmpl w:val="93F8F44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23706252">
    <w:abstractNumId w:val="0"/>
  </w:num>
  <w:num w:numId="2" w16cid:durableId="139659127">
    <w:abstractNumId w:val="1"/>
  </w:num>
  <w:num w:numId="3" w16cid:durableId="339358346">
    <w:abstractNumId w:val="6"/>
  </w:num>
  <w:num w:numId="4" w16cid:durableId="1726181395">
    <w:abstractNumId w:val="10"/>
  </w:num>
  <w:num w:numId="5" w16cid:durableId="1915890942">
    <w:abstractNumId w:val="7"/>
  </w:num>
  <w:num w:numId="6" w16cid:durableId="1235239834">
    <w:abstractNumId w:val="8"/>
  </w:num>
  <w:num w:numId="7" w16cid:durableId="994842378">
    <w:abstractNumId w:val="5"/>
  </w:num>
  <w:num w:numId="8" w16cid:durableId="2134203250">
    <w:abstractNumId w:val="3"/>
  </w:num>
  <w:num w:numId="9" w16cid:durableId="1363476835">
    <w:abstractNumId w:val="4"/>
  </w:num>
  <w:num w:numId="10" w16cid:durableId="806316743">
    <w:abstractNumId w:val="2"/>
  </w:num>
  <w:num w:numId="11" w16cid:durableId="381445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E4"/>
    <w:rsid w:val="00003118"/>
    <w:rsid w:val="00003DFC"/>
    <w:rsid w:val="00007892"/>
    <w:rsid w:val="00025A9E"/>
    <w:rsid w:val="000504E7"/>
    <w:rsid w:val="00061E8A"/>
    <w:rsid w:val="000652E1"/>
    <w:rsid w:val="00070D77"/>
    <w:rsid w:val="000B41A4"/>
    <w:rsid w:val="000B548C"/>
    <w:rsid w:val="000B78BD"/>
    <w:rsid w:val="000C54AA"/>
    <w:rsid w:val="000D2084"/>
    <w:rsid w:val="000E57E0"/>
    <w:rsid w:val="00106B2C"/>
    <w:rsid w:val="001464A7"/>
    <w:rsid w:val="00150F3B"/>
    <w:rsid w:val="00153D27"/>
    <w:rsid w:val="00155111"/>
    <w:rsid w:val="0016539F"/>
    <w:rsid w:val="001746D8"/>
    <w:rsid w:val="001826E6"/>
    <w:rsid w:val="001968AE"/>
    <w:rsid w:val="001A02E2"/>
    <w:rsid w:val="001A5A22"/>
    <w:rsid w:val="001C5298"/>
    <w:rsid w:val="001C586D"/>
    <w:rsid w:val="001E73FF"/>
    <w:rsid w:val="001F21EB"/>
    <w:rsid w:val="001F6217"/>
    <w:rsid w:val="00202183"/>
    <w:rsid w:val="00210FA9"/>
    <w:rsid w:val="00214FF6"/>
    <w:rsid w:val="00224395"/>
    <w:rsid w:val="0022623D"/>
    <w:rsid w:val="00231B2F"/>
    <w:rsid w:val="00234C25"/>
    <w:rsid w:val="002414E7"/>
    <w:rsid w:val="002500A9"/>
    <w:rsid w:val="00250813"/>
    <w:rsid w:val="00261F61"/>
    <w:rsid w:val="00277308"/>
    <w:rsid w:val="00283CF1"/>
    <w:rsid w:val="002909FA"/>
    <w:rsid w:val="002A4FF5"/>
    <w:rsid w:val="002C54B5"/>
    <w:rsid w:val="002C576A"/>
    <w:rsid w:val="002E4002"/>
    <w:rsid w:val="002E6F1E"/>
    <w:rsid w:val="0030002C"/>
    <w:rsid w:val="003060DA"/>
    <w:rsid w:val="0030760E"/>
    <w:rsid w:val="003179B1"/>
    <w:rsid w:val="00321B7E"/>
    <w:rsid w:val="00324978"/>
    <w:rsid w:val="00354902"/>
    <w:rsid w:val="00372F1D"/>
    <w:rsid w:val="00374F65"/>
    <w:rsid w:val="003B5D46"/>
    <w:rsid w:val="003D1E9F"/>
    <w:rsid w:val="003D7EE8"/>
    <w:rsid w:val="003F40A5"/>
    <w:rsid w:val="0041038C"/>
    <w:rsid w:val="0041740D"/>
    <w:rsid w:val="00421B38"/>
    <w:rsid w:val="00433CA8"/>
    <w:rsid w:val="004355F3"/>
    <w:rsid w:val="004446F8"/>
    <w:rsid w:val="004503C6"/>
    <w:rsid w:val="00456112"/>
    <w:rsid w:val="004602C5"/>
    <w:rsid w:val="00466ABB"/>
    <w:rsid w:val="004724DC"/>
    <w:rsid w:val="004862D1"/>
    <w:rsid w:val="00487C38"/>
    <w:rsid w:val="004C0190"/>
    <w:rsid w:val="004C5BF6"/>
    <w:rsid w:val="004D6C76"/>
    <w:rsid w:val="004E06BE"/>
    <w:rsid w:val="004F723D"/>
    <w:rsid w:val="0052238B"/>
    <w:rsid w:val="00526C6E"/>
    <w:rsid w:val="00530DD2"/>
    <w:rsid w:val="00532766"/>
    <w:rsid w:val="0054308B"/>
    <w:rsid w:val="005518A9"/>
    <w:rsid w:val="00552087"/>
    <w:rsid w:val="005658F4"/>
    <w:rsid w:val="005749DD"/>
    <w:rsid w:val="005832D0"/>
    <w:rsid w:val="005A3DA5"/>
    <w:rsid w:val="005A5C9D"/>
    <w:rsid w:val="005B17C3"/>
    <w:rsid w:val="005B6D2A"/>
    <w:rsid w:val="005B70DB"/>
    <w:rsid w:val="005B7EB0"/>
    <w:rsid w:val="005D0972"/>
    <w:rsid w:val="005D494B"/>
    <w:rsid w:val="005D6BA2"/>
    <w:rsid w:val="005E42F3"/>
    <w:rsid w:val="00603B35"/>
    <w:rsid w:val="00606EFB"/>
    <w:rsid w:val="00610B56"/>
    <w:rsid w:val="00615879"/>
    <w:rsid w:val="0062063D"/>
    <w:rsid w:val="00640C03"/>
    <w:rsid w:val="00642290"/>
    <w:rsid w:val="0064326B"/>
    <w:rsid w:val="00656490"/>
    <w:rsid w:val="00663FBC"/>
    <w:rsid w:val="00664ED3"/>
    <w:rsid w:val="00672113"/>
    <w:rsid w:val="0067430E"/>
    <w:rsid w:val="006774EF"/>
    <w:rsid w:val="00681699"/>
    <w:rsid w:val="0069508F"/>
    <w:rsid w:val="006979B0"/>
    <w:rsid w:val="006A538A"/>
    <w:rsid w:val="007017F9"/>
    <w:rsid w:val="007030F0"/>
    <w:rsid w:val="00704877"/>
    <w:rsid w:val="0070745D"/>
    <w:rsid w:val="0073140D"/>
    <w:rsid w:val="00736BE6"/>
    <w:rsid w:val="00761BA3"/>
    <w:rsid w:val="00763BB6"/>
    <w:rsid w:val="007A6268"/>
    <w:rsid w:val="007B4B44"/>
    <w:rsid w:val="007B6130"/>
    <w:rsid w:val="007C14DB"/>
    <w:rsid w:val="007C3C23"/>
    <w:rsid w:val="007C5299"/>
    <w:rsid w:val="007C672F"/>
    <w:rsid w:val="007D41D6"/>
    <w:rsid w:val="007D5263"/>
    <w:rsid w:val="007E002E"/>
    <w:rsid w:val="007E1152"/>
    <w:rsid w:val="00812058"/>
    <w:rsid w:val="0082394B"/>
    <w:rsid w:val="00832592"/>
    <w:rsid w:val="008415BF"/>
    <w:rsid w:val="008457D3"/>
    <w:rsid w:val="00863272"/>
    <w:rsid w:val="0086434E"/>
    <w:rsid w:val="0088731E"/>
    <w:rsid w:val="008A5EA8"/>
    <w:rsid w:val="008C262D"/>
    <w:rsid w:val="008C581D"/>
    <w:rsid w:val="008D53A2"/>
    <w:rsid w:val="008D67D7"/>
    <w:rsid w:val="008E216F"/>
    <w:rsid w:val="008E4493"/>
    <w:rsid w:val="00910546"/>
    <w:rsid w:val="00916F29"/>
    <w:rsid w:val="00944F0D"/>
    <w:rsid w:val="00955CE4"/>
    <w:rsid w:val="00957782"/>
    <w:rsid w:val="00971F11"/>
    <w:rsid w:val="009836CC"/>
    <w:rsid w:val="009A6561"/>
    <w:rsid w:val="009C4736"/>
    <w:rsid w:val="009E0DE2"/>
    <w:rsid w:val="009E14A2"/>
    <w:rsid w:val="009E7F79"/>
    <w:rsid w:val="00A00365"/>
    <w:rsid w:val="00A12745"/>
    <w:rsid w:val="00A14449"/>
    <w:rsid w:val="00A340FE"/>
    <w:rsid w:val="00A51969"/>
    <w:rsid w:val="00A922C3"/>
    <w:rsid w:val="00A96D33"/>
    <w:rsid w:val="00AC30DB"/>
    <w:rsid w:val="00AC47C4"/>
    <w:rsid w:val="00AC71F7"/>
    <w:rsid w:val="00AD6A0C"/>
    <w:rsid w:val="00AE1920"/>
    <w:rsid w:val="00AE684C"/>
    <w:rsid w:val="00AF3CF2"/>
    <w:rsid w:val="00B139EB"/>
    <w:rsid w:val="00B223D4"/>
    <w:rsid w:val="00B37039"/>
    <w:rsid w:val="00B40630"/>
    <w:rsid w:val="00B425AC"/>
    <w:rsid w:val="00B92C99"/>
    <w:rsid w:val="00B941E5"/>
    <w:rsid w:val="00B95A06"/>
    <w:rsid w:val="00B9784D"/>
    <w:rsid w:val="00BA5596"/>
    <w:rsid w:val="00BB48B3"/>
    <w:rsid w:val="00BF6B9D"/>
    <w:rsid w:val="00C17C2F"/>
    <w:rsid w:val="00C22E5B"/>
    <w:rsid w:val="00C359DA"/>
    <w:rsid w:val="00C44D20"/>
    <w:rsid w:val="00C47DA2"/>
    <w:rsid w:val="00C539DC"/>
    <w:rsid w:val="00C56C69"/>
    <w:rsid w:val="00C713D8"/>
    <w:rsid w:val="00C7603F"/>
    <w:rsid w:val="00C83693"/>
    <w:rsid w:val="00C9280A"/>
    <w:rsid w:val="00C967F1"/>
    <w:rsid w:val="00CA76AD"/>
    <w:rsid w:val="00CA7FAF"/>
    <w:rsid w:val="00CB0A81"/>
    <w:rsid w:val="00CC7D5F"/>
    <w:rsid w:val="00CD289F"/>
    <w:rsid w:val="00CE136A"/>
    <w:rsid w:val="00CF7203"/>
    <w:rsid w:val="00D00D5E"/>
    <w:rsid w:val="00D14088"/>
    <w:rsid w:val="00D2225C"/>
    <w:rsid w:val="00D37561"/>
    <w:rsid w:val="00D40E75"/>
    <w:rsid w:val="00D40EAE"/>
    <w:rsid w:val="00D453E0"/>
    <w:rsid w:val="00D5330D"/>
    <w:rsid w:val="00D55824"/>
    <w:rsid w:val="00D626A1"/>
    <w:rsid w:val="00D62E1A"/>
    <w:rsid w:val="00D63436"/>
    <w:rsid w:val="00D656CE"/>
    <w:rsid w:val="00DA4529"/>
    <w:rsid w:val="00DB27CC"/>
    <w:rsid w:val="00DB2BBC"/>
    <w:rsid w:val="00DC3A2E"/>
    <w:rsid w:val="00DC5007"/>
    <w:rsid w:val="00DD0078"/>
    <w:rsid w:val="00DF5CFF"/>
    <w:rsid w:val="00DF6156"/>
    <w:rsid w:val="00E05269"/>
    <w:rsid w:val="00E16105"/>
    <w:rsid w:val="00E447FD"/>
    <w:rsid w:val="00E6446C"/>
    <w:rsid w:val="00E97FCE"/>
    <w:rsid w:val="00EA211D"/>
    <w:rsid w:val="00EA2646"/>
    <w:rsid w:val="00EA531C"/>
    <w:rsid w:val="00EE3490"/>
    <w:rsid w:val="00EF2DE1"/>
    <w:rsid w:val="00EF44BF"/>
    <w:rsid w:val="00EF705C"/>
    <w:rsid w:val="00F07B01"/>
    <w:rsid w:val="00F15173"/>
    <w:rsid w:val="00F2018B"/>
    <w:rsid w:val="00F24702"/>
    <w:rsid w:val="00F267C4"/>
    <w:rsid w:val="00F35A41"/>
    <w:rsid w:val="00F43BF2"/>
    <w:rsid w:val="00F66269"/>
    <w:rsid w:val="00F67622"/>
    <w:rsid w:val="00F725A2"/>
    <w:rsid w:val="00F927A7"/>
    <w:rsid w:val="00FA3423"/>
    <w:rsid w:val="00FA3CED"/>
    <w:rsid w:val="00FB778E"/>
    <w:rsid w:val="00FC7E2D"/>
    <w:rsid w:val="00FD1DEE"/>
    <w:rsid w:val="00FD6D71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A511"/>
  <w15:chartTrackingRefBased/>
  <w15:docId w15:val="{249BD0DC-B646-4709-BA71-02D48352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Pagrindinistekstas21">
    <w:name w:val="Pagrindinis tekstas 21"/>
    <w:basedOn w:val="prastasis"/>
    <w:pPr>
      <w:jc w:val="both"/>
    </w:pPr>
  </w:style>
  <w:style w:type="character" w:styleId="Komentaronuoroda">
    <w:name w:val="annotation reference"/>
    <w:uiPriority w:val="99"/>
    <w:semiHidden/>
    <w:unhideWhenUsed/>
    <w:rsid w:val="00F662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6269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66269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626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66269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F66269"/>
    <w:rPr>
      <w:rFonts w:eastAsia="Lucida Sans Unicode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2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66269"/>
    <w:rPr>
      <w:rFonts w:ascii="Segoe UI" w:eastAsia="Lucida Sans Unicode" w:hAnsi="Segoe UI" w:cs="Segoe UI"/>
      <w:sz w:val="18"/>
      <w:szCs w:val="18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C359DA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C359DA"/>
    <w:rPr>
      <w:rFonts w:ascii="Calibri" w:eastAsia="Calibri" w:hAnsi="Calibri"/>
      <w:sz w:val="22"/>
      <w:szCs w:val="22"/>
      <w:lang w:eastAsia="x-none"/>
    </w:rPr>
  </w:style>
  <w:style w:type="paragraph" w:styleId="Betarp">
    <w:name w:val="No Spacing"/>
    <w:uiPriority w:val="1"/>
    <w:qFormat/>
    <w:rsid w:val="0086434E"/>
    <w:rPr>
      <w:rFonts w:ascii="Calibri" w:eastAsia="Calibri" w:hAnsi="Calibri" w:cs="Calibri"/>
      <w:color w:val="000000"/>
      <w:sz w:val="22"/>
      <w:szCs w:val="22"/>
    </w:rPr>
  </w:style>
  <w:style w:type="paragraph" w:customStyle="1" w:styleId="Pagrindinistekstas22">
    <w:name w:val="Pagrindinis tekstas 22"/>
    <w:basedOn w:val="prastasis"/>
    <w:rsid w:val="00D00D5E"/>
    <w:pPr>
      <w:jc w:val="both"/>
    </w:pPr>
  </w:style>
  <w:style w:type="paragraph" w:customStyle="1" w:styleId="Pagrindinistekstas23">
    <w:name w:val="Pagrindinis tekstas 23"/>
    <w:basedOn w:val="prastasis"/>
    <w:rsid w:val="00606EFB"/>
    <w:pPr>
      <w:jc w:val="both"/>
    </w:pPr>
  </w:style>
  <w:style w:type="table" w:styleId="Lentelstinklelis">
    <w:name w:val="Table Grid"/>
    <w:basedOn w:val="prastojilentel"/>
    <w:uiPriority w:val="59"/>
    <w:rsid w:val="001F2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0760E"/>
    <w:pPr>
      <w:suppressAutoHyphens/>
      <w:autoSpaceDN w:val="0"/>
      <w:ind w:firstLine="720"/>
      <w:textAlignment w:val="baseline"/>
    </w:pPr>
    <w:rPr>
      <w:kern w:val="3"/>
      <w:sz w:val="24"/>
      <w:szCs w:val="24"/>
      <w:lang w:eastAsia="ar-SA"/>
    </w:rPr>
  </w:style>
  <w:style w:type="numbering" w:customStyle="1" w:styleId="WWNum23">
    <w:name w:val="WWNum23"/>
    <w:basedOn w:val="Sraonra"/>
    <w:rsid w:val="0030002C"/>
    <w:pPr>
      <w:numPr>
        <w:numId w:val="8"/>
      </w:numPr>
    </w:pPr>
  </w:style>
  <w:style w:type="character" w:customStyle="1" w:styleId="typewriter">
    <w:name w:val="typewriter"/>
    <w:basedOn w:val="Numatytasispastraiposriftas"/>
    <w:rsid w:val="009C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3C1C-CC2B-4AB8-B992-A5C88BB7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Gitana Pyragiuvienė</cp:lastModifiedBy>
  <cp:revision>15</cp:revision>
  <cp:lastPrinted>2025-09-26T10:07:00Z</cp:lastPrinted>
  <dcterms:created xsi:type="dcterms:W3CDTF">2025-09-18T11:27:00Z</dcterms:created>
  <dcterms:modified xsi:type="dcterms:W3CDTF">2025-10-14T12:51:00Z</dcterms:modified>
</cp:coreProperties>
</file>