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C4" w:rsidRPr="00A7037F" w:rsidRDefault="00C30CC4" w:rsidP="00C30CC4">
      <w:pPr>
        <w:jc w:val="both"/>
      </w:pPr>
      <w:r>
        <w:t xml:space="preserve">Valstybinio socialinio draudimo fondo valdybos prie Socialinės apsaugos ir darbo ministerijos (toliau – Fondo valdyba) viešojo pirkimo komisija (toliau – komisija) atlieka </w:t>
      </w:r>
      <w:r w:rsidR="0037550D" w:rsidRPr="0037550D">
        <w:rPr>
          <w:b/>
        </w:rPr>
        <w:t xml:space="preserve">Interneto svetainės </w:t>
      </w:r>
      <w:proofErr w:type="spellStart"/>
      <w:r w:rsidR="0037550D" w:rsidRPr="0037550D">
        <w:rPr>
          <w:b/>
        </w:rPr>
        <w:t>Sodra.lt</w:t>
      </w:r>
      <w:proofErr w:type="spellEnd"/>
      <w:r w:rsidR="0037550D" w:rsidRPr="0037550D">
        <w:rPr>
          <w:b/>
        </w:rPr>
        <w:t xml:space="preserve"> vystymo</w:t>
      </w:r>
      <w:r w:rsidR="0037550D" w:rsidRPr="0037550D">
        <w:t xml:space="preserve"> </w:t>
      </w:r>
      <w:r w:rsidR="00C12C40" w:rsidRPr="00C12C40">
        <w:rPr>
          <w:b/>
        </w:rPr>
        <w:t xml:space="preserve">paslaugų </w:t>
      </w:r>
      <w:r w:rsidR="00C12C40" w:rsidRPr="00C3247A">
        <w:rPr>
          <w:b/>
        </w:rPr>
        <w:t>pirkimą</w:t>
      </w:r>
      <w:r w:rsidRPr="00C3247A">
        <w:t xml:space="preserve">. Skelbimas apie šį pirkimą Centrinėje viešųjų pirkimų informacinėje sistemoje paskelbtas </w:t>
      </w:r>
      <w:r w:rsidR="00C3247A" w:rsidRPr="00C3247A">
        <w:t>06/10/2025</w:t>
      </w:r>
      <w:r w:rsidRPr="00C3247A">
        <w:t xml:space="preserve">. Pirkimo ID </w:t>
      </w:r>
      <w:bookmarkStart w:id="0" w:name="_GoBack"/>
      <w:bookmarkEnd w:id="0"/>
      <w:r w:rsidR="00BD29FD" w:rsidRPr="00A7037F">
        <w:t>4841832</w:t>
      </w:r>
      <w:r w:rsidRPr="00A7037F">
        <w:t>.</w:t>
      </w:r>
    </w:p>
    <w:p w:rsidR="00C30CC4" w:rsidRDefault="00C30CC4" w:rsidP="00C30CC4">
      <w:pPr>
        <w:jc w:val="both"/>
        <w:rPr>
          <w:u w:val="single"/>
        </w:rPr>
      </w:pPr>
      <w:r w:rsidRPr="00A7037F">
        <w:rPr>
          <w:u w:val="single"/>
        </w:rPr>
        <w:t>Informuojame, kad komisija 2025-</w:t>
      </w:r>
      <w:r w:rsidR="00E40E43" w:rsidRPr="00A7037F">
        <w:rPr>
          <w:u w:val="single"/>
        </w:rPr>
        <w:t>10</w:t>
      </w:r>
      <w:r w:rsidRPr="00A7037F">
        <w:rPr>
          <w:u w:val="single"/>
        </w:rPr>
        <w:t>-</w:t>
      </w:r>
      <w:r w:rsidR="004C4DFF" w:rsidRPr="00A7037F">
        <w:rPr>
          <w:u w:val="single"/>
        </w:rPr>
        <w:t>1</w:t>
      </w:r>
      <w:r w:rsidR="00E40E43" w:rsidRPr="00A7037F">
        <w:rPr>
          <w:u w:val="single"/>
        </w:rPr>
        <w:t>4</w:t>
      </w:r>
      <w:r w:rsidR="00C05A68" w:rsidRPr="00A7037F">
        <w:rPr>
          <w:u w:val="single"/>
        </w:rPr>
        <w:t>, 2025-10-15</w:t>
      </w:r>
      <w:r w:rsidRPr="00A7037F">
        <w:rPr>
          <w:u w:val="single"/>
        </w:rPr>
        <w:t xml:space="preserve"> posėdž</w:t>
      </w:r>
      <w:r w:rsidR="000957C4" w:rsidRPr="00A7037F">
        <w:rPr>
          <w:u w:val="single"/>
        </w:rPr>
        <w:t xml:space="preserve">iuose </w:t>
      </w:r>
      <w:r w:rsidRPr="00A7037F">
        <w:rPr>
          <w:u w:val="single"/>
        </w:rPr>
        <w:t>pateik</w:t>
      </w:r>
      <w:r w:rsidR="000957C4" w:rsidRPr="00A7037F">
        <w:rPr>
          <w:u w:val="single"/>
        </w:rPr>
        <w:t xml:space="preserve">ė </w:t>
      </w:r>
      <w:r w:rsidRPr="00A7037F">
        <w:rPr>
          <w:u w:val="single"/>
        </w:rPr>
        <w:t>atsaky</w:t>
      </w:r>
      <w:r w:rsidR="00C05A68" w:rsidRPr="00A7037F">
        <w:rPr>
          <w:u w:val="single"/>
        </w:rPr>
        <w:t>mus</w:t>
      </w:r>
      <w:r w:rsidRPr="00A7037F">
        <w:rPr>
          <w:u w:val="single"/>
        </w:rPr>
        <w:t xml:space="preserve"> į </w:t>
      </w:r>
      <w:r w:rsidR="00B5331B" w:rsidRPr="00A7037F">
        <w:rPr>
          <w:u w:val="single"/>
        </w:rPr>
        <w:t>2025-10-09</w:t>
      </w:r>
      <w:r w:rsidR="00C05A68" w:rsidRPr="00A7037F">
        <w:rPr>
          <w:u w:val="single"/>
        </w:rPr>
        <w:t xml:space="preserve">, </w:t>
      </w:r>
      <w:r w:rsidR="00B5331B" w:rsidRPr="00A7037F">
        <w:rPr>
          <w:u w:val="single"/>
        </w:rPr>
        <w:t>2025-10-10</w:t>
      </w:r>
      <w:r w:rsidR="00C05A68" w:rsidRPr="00A7037F">
        <w:rPr>
          <w:u w:val="single"/>
        </w:rPr>
        <w:t>, 2025-10-15</w:t>
      </w:r>
      <w:r w:rsidR="00B5331B" w:rsidRPr="00A7037F">
        <w:rPr>
          <w:u w:val="single"/>
        </w:rPr>
        <w:t xml:space="preserve"> </w:t>
      </w:r>
      <w:r w:rsidRPr="00A7037F">
        <w:rPr>
          <w:u w:val="single"/>
        </w:rPr>
        <w:t xml:space="preserve">CVP IS </w:t>
      </w:r>
      <w:r w:rsidR="000957C4" w:rsidRPr="00A7037F">
        <w:rPr>
          <w:u w:val="single"/>
        </w:rPr>
        <w:t xml:space="preserve">gautus </w:t>
      </w:r>
      <w:r w:rsidRPr="00A7037F">
        <w:rPr>
          <w:u w:val="single"/>
        </w:rPr>
        <w:t>paklausim</w:t>
      </w:r>
      <w:r w:rsidR="00C52286" w:rsidRPr="00A7037F">
        <w:rPr>
          <w:u w:val="single"/>
        </w:rPr>
        <w:t>us</w:t>
      </w:r>
      <w:r w:rsidRPr="00A7037F">
        <w:rPr>
          <w:u w:val="single"/>
        </w:rPr>
        <w:t>:</w:t>
      </w:r>
    </w:p>
    <w:tbl>
      <w:tblPr>
        <w:tblStyle w:val="Lentelstinklelis"/>
        <w:tblW w:w="0" w:type="auto"/>
        <w:tblLook w:val="04A0" w:firstRow="1" w:lastRow="0" w:firstColumn="1" w:lastColumn="0" w:noHBand="0" w:noVBand="1"/>
      </w:tblPr>
      <w:tblGrid>
        <w:gridCol w:w="570"/>
        <w:gridCol w:w="4387"/>
        <w:gridCol w:w="4671"/>
      </w:tblGrid>
      <w:tr w:rsidR="00133229" w:rsidTr="00246DCB">
        <w:tc>
          <w:tcPr>
            <w:tcW w:w="570" w:type="dxa"/>
          </w:tcPr>
          <w:p w:rsidR="00133229" w:rsidRPr="00B5331B" w:rsidRDefault="00133229" w:rsidP="004B5176">
            <w:pPr>
              <w:jc w:val="both"/>
              <w:rPr>
                <w:b/>
                <w:bCs/>
                <w:noProof/>
              </w:rPr>
            </w:pPr>
            <w:r>
              <w:rPr>
                <w:b/>
                <w:bCs/>
                <w:noProof/>
              </w:rPr>
              <w:t>Eil. Nr.</w:t>
            </w:r>
          </w:p>
        </w:tc>
        <w:tc>
          <w:tcPr>
            <w:tcW w:w="4387" w:type="dxa"/>
          </w:tcPr>
          <w:p w:rsidR="00133229" w:rsidRPr="00B5331B" w:rsidRDefault="00133229" w:rsidP="004B5176">
            <w:pPr>
              <w:jc w:val="both"/>
              <w:rPr>
                <w:b/>
                <w:bCs/>
                <w:noProof/>
              </w:rPr>
            </w:pPr>
            <w:r w:rsidRPr="00B5331B">
              <w:rPr>
                <w:b/>
                <w:bCs/>
                <w:noProof/>
              </w:rPr>
              <w:t>Klausimas</w:t>
            </w:r>
          </w:p>
        </w:tc>
        <w:tc>
          <w:tcPr>
            <w:tcW w:w="4671" w:type="dxa"/>
          </w:tcPr>
          <w:p w:rsidR="00133229" w:rsidRPr="00B5331B" w:rsidRDefault="00133229" w:rsidP="004B5176">
            <w:pPr>
              <w:jc w:val="both"/>
              <w:rPr>
                <w:b/>
                <w:bCs/>
                <w:noProof/>
              </w:rPr>
            </w:pPr>
            <w:r w:rsidRPr="00B5331B">
              <w:rPr>
                <w:b/>
                <w:bCs/>
                <w:noProof/>
              </w:rPr>
              <w:t>Atsakymas</w:t>
            </w:r>
          </w:p>
        </w:tc>
      </w:tr>
      <w:tr w:rsidR="00133229" w:rsidTr="00246DCB">
        <w:tc>
          <w:tcPr>
            <w:tcW w:w="570" w:type="dxa"/>
          </w:tcPr>
          <w:p w:rsidR="00133229" w:rsidRPr="00B24982" w:rsidRDefault="00133229" w:rsidP="004B5176">
            <w:pPr>
              <w:jc w:val="both"/>
              <w:rPr>
                <w:bCs/>
                <w:noProof/>
              </w:rPr>
            </w:pPr>
            <w:r>
              <w:rPr>
                <w:bCs/>
                <w:noProof/>
              </w:rPr>
              <w:t>1.</w:t>
            </w:r>
          </w:p>
        </w:tc>
        <w:tc>
          <w:tcPr>
            <w:tcW w:w="4387" w:type="dxa"/>
          </w:tcPr>
          <w:p w:rsidR="00133229" w:rsidRPr="00B24982" w:rsidRDefault="00133229" w:rsidP="004B5176">
            <w:pPr>
              <w:jc w:val="both"/>
              <w:rPr>
                <w:bCs/>
                <w:noProof/>
              </w:rPr>
            </w:pPr>
            <w:r w:rsidRPr="00B24982">
              <w:rPr>
                <w:bCs/>
                <w:noProof/>
              </w:rPr>
              <w:t>Norėtume atkreipti dėmesį į keletą konkurso sąlygų aspektų, kurie, mūsų nuomone, reikšmingai riboja tiekėjų galimybes pateikti konkurencingus pasiūlymus:</w:t>
            </w:r>
          </w:p>
          <w:p w:rsidR="00133229" w:rsidRPr="00B24982" w:rsidRDefault="00133229" w:rsidP="004B5176">
            <w:pPr>
              <w:jc w:val="both"/>
              <w:rPr>
                <w:bCs/>
                <w:noProof/>
              </w:rPr>
            </w:pPr>
            <w:r w:rsidRPr="00B24982">
              <w:rPr>
                <w:bCs/>
                <w:noProof/>
              </w:rPr>
              <w:t>1. Paslaugų kiekio neužtikrinimas.</w:t>
            </w:r>
          </w:p>
          <w:p w:rsidR="00133229" w:rsidRPr="00B24982" w:rsidRDefault="00133229" w:rsidP="004B5176">
            <w:pPr>
              <w:jc w:val="both"/>
              <w:rPr>
                <w:bCs/>
                <w:noProof/>
              </w:rPr>
            </w:pPr>
            <w:r w:rsidRPr="00B24982">
              <w:rPr>
                <w:bCs/>
                <w:noProof/>
              </w:rPr>
              <w:t>Specialiosiose pirkimo sąlygose nurodyta, kad Fondo valdyba neįsipareigoja išnaudoti visų perkamų paslaugų valandų. Tai reiškia, kad tiekėjai neturi jokių garantijų dėl minimalios paslaugų apimties ar stabilaus mėnesinio darbo krūvio. Tokia sąlyga kelia finansinę riziką tiekėjams ir gali atgrasyti dalį potencialiai kvalifikuotų dalyvių nuo dalyvavimo konkurse.</w:t>
            </w:r>
          </w:p>
          <w:p w:rsidR="00133229" w:rsidRPr="00B24982" w:rsidRDefault="00133229" w:rsidP="004B5176">
            <w:pPr>
              <w:jc w:val="both"/>
              <w:rPr>
                <w:bCs/>
                <w:noProof/>
              </w:rPr>
            </w:pPr>
            <w:r w:rsidRPr="00B24982">
              <w:rPr>
                <w:bCs/>
                <w:noProof/>
              </w:rPr>
              <w:t>2. Reakcijos terminų disproporcija.</w:t>
            </w:r>
          </w:p>
          <w:p w:rsidR="00133229" w:rsidRPr="00B24982" w:rsidRDefault="00133229" w:rsidP="004B5176">
            <w:pPr>
              <w:jc w:val="both"/>
              <w:rPr>
                <w:bCs/>
                <w:noProof/>
              </w:rPr>
            </w:pPr>
            <w:r w:rsidRPr="00B24982">
              <w:rPr>
                <w:bCs/>
                <w:noProof/>
              </w:rPr>
              <w:t>Techninėje specifikacijoje numatyti terminai (kritinė klaida – 1 val. reakcija / 4 val. šalinimas, vidutinė – 4 val. / 1 d., žema – 1 d. / 3 d.) yra itin griežti, atsižvelgiant į tai, kad apmokėjimas numatytas tik pagal faktiškai suteiktas paslaugas. Tokie terminai suponuoja nuolatinį budėjimo režimą, nors sutartis nenumato pastovaus apmokėjimo už parengtį.</w:t>
            </w:r>
          </w:p>
          <w:p w:rsidR="00133229" w:rsidRPr="00B24982" w:rsidRDefault="00133229" w:rsidP="004B5176">
            <w:pPr>
              <w:jc w:val="both"/>
              <w:rPr>
                <w:bCs/>
                <w:noProof/>
              </w:rPr>
            </w:pPr>
          </w:p>
          <w:p w:rsidR="00133229" w:rsidRPr="00B24982" w:rsidRDefault="00133229" w:rsidP="004B5176">
            <w:pPr>
              <w:jc w:val="both"/>
              <w:rPr>
                <w:bCs/>
                <w:noProof/>
              </w:rPr>
            </w:pPr>
            <w:r w:rsidRPr="00B24982">
              <w:rPr>
                <w:bCs/>
                <w:noProof/>
              </w:rPr>
              <w:t>Atsižvelgiant į šias aplinkybes, prašome įvertinti galimybę patikslinti konkurso sąlygas, pavyzdžiui:</w:t>
            </w:r>
          </w:p>
          <w:p w:rsidR="00133229" w:rsidRPr="00B24982" w:rsidRDefault="00133229" w:rsidP="004B5176">
            <w:pPr>
              <w:jc w:val="both"/>
              <w:rPr>
                <w:bCs/>
                <w:noProof/>
              </w:rPr>
            </w:pPr>
            <w:r w:rsidRPr="00B24982">
              <w:rPr>
                <w:bCs/>
                <w:noProof/>
              </w:rPr>
              <w:t>• nustatyti minimalų garantuotą mėnesinį paslaugų kiekį, arba</w:t>
            </w:r>
          </w:p>
          <w:p w:rsidR="00133229" w:rsidRDefault="00133229" w:rsidP="004B5176">
            <w:pPr>
              <w:jc w:val="both"/>
              <w:rPr>
                <w:bCs/>
                <w:noProof/>
              </w:rPr>
            </w:pPr>
            <w:r w:rsidRPr="00B24982">
              <w:rPr>
                <w:bCs/>
                <w:noProof/>
              </w:rPr>
              <w:t>• pakoreguoti reakcijos laikus pagal realias darbo valandas (darbo dienomis 8:00–17:00).</w:t>
            </w:r>
          </w:p>
        </w:tc>
        <w:tc>
          <w:tcPr>
            <w:tcW w:w="4671" w:type="dxa"/>
          </w:tcPr>
          <w:p w:rsidR="00133229" w:rsidRPr="00F44868" w:rsidRDefault="00133229" w:rsidP="004B5176">
            <w:pPr>
              <w:jc w:val="both"/>
              <w:rPr>
                <w:bCs/>
                <w:noProof/>
              </w:rPr>
            </w:pPr>
            <w:r w:rsidRPr="00162297">
              <w:rPr>
                <w:bCs/>
                <w:noProof/>
              </w:rPr>
              <w:t xml:space="preserve">Išanalizavus perkančiosios organizacijos interneto svetainės www.sodra.lt vystymo </w:t>
            </w:r>
            <w:r w:rsidRPr="00F44868">
              <w:rPr>
                <w:bCs/>
                <w:noProof/>
              </w:rPr>
              <w:t>paslaugų poreikį per paskutinius trejus metus, tiksliai prognozuoti užsakymų apimčių nėra galimybės. Paslaugos užsakomos pagal poreikį, kuris susijęs su LR teisės aktų pakeitimais, pasikeitusiais išmokų dydžiais ir kt. veiksniais, nepriklausančiais nuo perkančiosios organizacijos poreikių, kurių iš anksto numatyti nėra įmanoma.</w:t>
            </w:r>
          </w:p>
          <w:p w:rsidR="00133229" w:rsidRPr="00F44868" w:rsidRDefault="00133229" w:rsidP="004B5176">
            <w:pPr>
              <w:jc w:val="both"/>
              <w:rPr>
                <w:bCs/>
                <w:noProof/>
              </w:rPr>
            </w:pPr>
            <w:r w:rsidRPr="00F44868">
              <w:rPr>
                <w:bCs/>
                <w:noProof/>
              </w:rPr>
              <w:t>Internetinė svetainė www.sodra.lt yra perkančiosios organizacijos informacinės sistemos dalis. Perkančioji organizacija yra esminis kibernetinio saugumo subjektas (pagal metodiką įvertinta Nacionalinio kibernetinio saugumo centro prie Krašto apsaugos ministerijos (toliau – NKSC)), todėl Fondo valdybos informacinei sistemai yra taikomi aukščiausi kibernetinio saugumo ir Lietuvos standarto LST EN ISO/IEC 27001:2023 „Informacijos saugumas, kibernetinis saugumas ir privatumo apsauga. Informacijos saugumo valdymo sistemos. Reikalavimai (ISO/IEC 27001:2022)“ reikalavimai.</w:t>
            </w:r>
          </w:p>
          <w:p w:rsidR="00133229" w:rsidRPr="00F44868" w:rsidRDefault="00133229" w:rsidP="004B5176">
            <w:pPr>
              <w:jc w:val="both"/>
              <w:rPr>
                <w:bCs/>
                <w:noProof/>
              </w:rPr>
            </w:pPr>
            <w:r w:rsidRPr="00F44868">
              <w:rPr>
                <w:bCs/>
                <w:noProof/>
              </w:rPr>
              <w:t xml:space="preserve">Pirkimo dokumentuose nurodyti reakcijos laikai yra nustatyti atsižvelgiant į aukščiau nurodytus kibernetinio saugumo reikalavimus. Perkančioji organizacija iš tiekėjo reikalaus reaguoti tik darbo dienomis ir darbo valandomis. </w:t>
            </w:r>
          </w:p>
          <w:p w:rsidR="00133229" w:rsidRPr="00A06799" w:rsidRDefault="00133229" w:rsidP="004B5176">
            <w:pPr>
              <w:jc w:val="both"/>
              <w:rPr>
                <w:bCs/>
                <w:noProof/>
                <w:highlight w:val="green"/>
              </w:rPr>
            </w:pPr>
            <w:r w:rsidRPr="00F44868">
              <w:rPr>
                <w:bCs/>
                <w:noProof/>
              </w:rPr>
              <w:t xml:space="preserve">Pirkimo dokumentų sąlygos nebus keičiamos. </w:t>
            </w:r>
          </w:p>
        </w:tc>
      </w:tr>
      <w:tr w:rsidR="00133229" w:rsidTr="00246DCB">
        <w:tc>
          <w:tcPr>
            <w:tcW w:w="570" w:type="dxa"/>
          </w:tcPr>
          <w:p w:rsidR="00133229" w:rsidRPr="0077591B" w:rsidRDefault="00133229" w:rsidP="004B5176">
            <w:pPr>
              <w:jc w:val="both"/>
              <w:rPr>
                <w:bCs/>
                <w:noProof/>
              </w:rPr>
            </w:pPr>
            <w:r>
              <w:rPr>
                <w:bCs/>
                <w:noProof/>
              </w:rPr>
              <w:t>2.</w:t>
            </w:r>
          </w:p>
        </w:tc>
        <w:tc>
          <w:tcPr>
            <w:tcW w:w="4387" w:type="dxa"/>
          </w:tcPr>
          <w:p w:rsidR="00133229" w:rsidRPr="00D346D6" w:rsidRDefault="00133229" w:rsidP="004B5176">
            <w:pPr>
              <w:jc w:val="both"/>
              <w:rPr>
                <w:bCs/>
                <w:noProof/>
              </w:rPr>
            </w:pPr>
            <w:r w:rsidRPr="0077591B">
              <w:rPr>
                <w:bCs/>
                <w:noProof/>
              </w:rPr>
              <w:t>5 priedo 1 priedas pirkimo dokumentuose nepateiktas. Ar galima specialistų sąrašą pateikti laisvos formos?</w:t>
            </w:r>
          </w:p>
        </w:tc>
        <w:tc>
          <w:tcPr>
            <w:tcW w:w="4671" w:type="dxa"/>
          </w:tcPr>
          <w:p w:rsidR="00133229" w:rsidRDefault="00133229" w:rsidP="004B5176">
            <w:pPr>
              <w:jc w:val="both"/>
              <w:rPr>
                <w:bCs/>
                <w:noProof/>
              </w:rPr>
            </w:pPr>
            <w:r>
              <w:rPr>
                <w:bCs/>
                <w:noProof/>
              </w:rPr>
              <w:t>Paminėtas priedas yra techninio pobūdžio klaida.</w:t>
            </w:r>
          </w:p>
          <w:p w:rsidR="00133229" w:rsidRDefault="00133229" w:rsidP="004B5176">
            <w:pPr>
              <w:jc w:val="both"/>
              <w:rPr>
                <w:bCs/>
                <w:noProof/>
              </w:rPr>
            </w:pPr>
            <w:r>
              <w:rPr>
                <w:bCs/>
                <w:noProof/>
              </w:rPr>
              <w:t>Galima pateikti laisvos formos sąrašą.</w:t>
            </w:r>
          </w:p>
        </w:tc>
      </w:tr>
      <w:tr w:rsidR="00133229" w:rsidTr="00246DCB">
        <w:tc>
          <w:tcPr>
            <w:tcW w:w="570" w:type="dxa"/>
          </w:tcPr>
          <w:p w:rsidR="00133229" w:rsidRDefault="00133229" w:rsidP="004B5176">
            <w:pPr>
              <w:jc w:val="both"/>
              <w:rPr>
                <w:bCs/>
                <w:noProof/>
              </w:rPr>
            </w:pPr>
            <w:r>
              <w:rPr>
                <w:bCs/>
                <w:noProof/>
              </w:rPr>
              <w:t>3.</w:t>
            </w:r>
          </w:p>
        </w:tc>
        <w:tc>
          <w:tcPr>
            <w:tcW w:w="4387" w:type="dxa"/>
          </w:tcPr>
          <w:p w:rsidR="00133229" w:rsidRDefault="00133229" w:rsidP="004B5176">
            <w:pPr>
              <w:jc w:val="both"/>
              <w:rPr>
                <w:bCs/>
                <w:noProof/>
              </w:rPr>
            </w:pPr>
            <w:r>
              <w:rPr>
                <w:bCs/>
                <w:noProof/>
              </w:rPr>
              <w:t>Dėl 8 priedo 1.2.1. p.:</w:t>
            </w:r>
          </w:p>
          <w:p w:rsidR="00133229" w:rsidRDefault="00133229" w:rsidP="004B5176">
            <w:pPr>
              <w:jc w:val="both"/>
              <w:rPr>
                <w:bCs/>
                <w:noProof/>
              </w:rPr>
            </w:pPr>
            <w:r w:rsidRPr="00D346D6">
              <w:rPr>
                <w:bCs/>
                <w:noProof/>
              </w:rPr>
              <w:t xml:space="preserve">Lentelės 1.2 nurodyti reikalavimai specialistams ir dokumentai, kurie turės </w:t>
            </w:r>
            <w:r w:rsidRPr="00D346D6">
              <w:rPr>
                <w:bCs/>
                <w:noProof/>
              </w:rPr>
              <w:lastRenderedPageBreak/>
              <w:t>būti pateikti, tačiau taip pat prie reikalavimų specialistams taip pat nurodyti papildomi dokumentai ar nuorodos, kurios turi būti pateiktos. Neaišku, kuria informacija tiekėjui remtis</w:t>
            </w:r>
            <w:r>
              <w:rPr>
                <w:bCs/>
                <w:noProof/>
              </w:rPr>
              <w:t>:</w:t>
            </w:r>
          </w:p>
          <w:p w:rsidR="00133229" w:rsidRPr="002D1898" w:rsidRDefault="00133229" w:rsidP="004B5176">
            <w:pPr>
              <w:jc w:val="both"/>
              <w:rPr>
                <w:bCs/>
                <w:noProof/>
              </w:rPr>
            </w:pPr>
            <w:r w:rsidRPr="002D1898">
              <w:rPr>
                <w:bCs/>
                <w:noProof/>
              </w:rPr>
              <w:t>1.2</w:t>
            </w:r>
            <w:r>
              <w:rPr>
                <w:bCs/>
                <w:noProof/>
              </w:rPr>
              <w:t>.</w:t>
            </w:r>
            <w:r w:rsidRPr="002D1898">
              <w:rPr>
                <w:bCs/>
                <w:noProof/>
              </w:rPr>
              <w:t xml:space="preserve"> p. nurodyta, kad turi būti pateiktas specialisto CV (ir nurodyta, kokia informacija jame turi būti pateikta), o šiame punkte  reikalaujamas dar vienas darbinės veiklos aprašymas, kuris dubliuojasi su specialisto CV. </w:t>
            </w:r>
          </w:p>
          <w:p w:rsidR="00133229" w:rsidRDefault="00133229" w:rsidP="004B5176">
            <w:pPr>
              <w:jc w:val="both"/>
              <w:rPr>
                <w:bCs/>
                <w:noProof/>
              </w:rPr>
            </w:pPr>
            <w:r w:rsidRPr="002D1898">
              <w:rPr>
                <w:bCs/>
                <w:noProof/>
              </w:rPr>
              <w:t>Prašytume patikslinti, kuris dokumentas, patvirtinantis specialisto kvalifikaciją turi būti pateiktas – šis veiklos aprašymas, ar specialisto CV.</w:t>
            </w:r>
          </w:p>
        </w:tc>
        <w:tc>
          <w:tcPr>
            <w:tcW w:w="4671" w:type="dxa"/>
          </w:tcPr>
          <w:p w:rsidR="00133229" w:rsidRDefault="00133229" w:rsidP="004B5176">
            <w:pPr>
              <w:jc w:val="both"/>
              <w:rPr>
                <w:bCs/>
                <w:noProof/>
              </w:rPr>
            </w:pPr>
            <w:r>
              <w:rPr>
                <w:bCs/>
                <w:noProof/>
              </w:rPr>
              <w:lastRenderedPageBreak/>
              <w:t>S</w:t>
            </w:r>
            <w:r w:rsidRPr="008A68CB">
              <w:rPr>
                <w:bCs/>
                <w:noProof/>
              </w:rPr>
              <w:t>pecialisto darbinės veiklos aprašym</w:t>
            </w:r>
            <w:r>
              <w:rPr>
                <w:bCs/>
                <w:noProof/>
              </w:rPr>
              <w:t xml:space="preserve">as visa apimtimi turi būti pateikiamas CV. </w:t>
            </w:r>
          </w:p>
        </w:tc>
      </w:tr>
      <w:tr w:rsidR="00133229" w:rsidTr="00246DCB">
        <w:tc>
          <w:tcPr>
            <w:tcW w:w="570" w:type="dxa"/>
          </w:tcPr>
          <w:p w:rsidR="00133229" w:rsidRPr="00FB77AE" w:rsidRDefault="00133229" w:rsidP="004B5176">
            <w:pPr>
              <w:jc w:val="both"/>
              <w:rPr>
                <w:bCs/>
                <w:noProof/>
              </w:rPr>
            </w:pPr>
            <w:r>
              <w:rPr>
                <w:bCs/>
                <w:noProof/>
              </w:rPr>
              <w:t>4.</w:t>
            </w:r>
          </w:p>
        </w:tc>
        <w:tc>
          <w:tcPr>
            <w:tcW w:w="4387" w:type="dxa"/>
          </w:tcPr>
          <w:p w:rsidR="00133229" w:rsidRDefault="00133229" w:rsidP="004B5176">
            <w:pPr>
              <w:jc w:val="both"/>
              <w:rPr>
                <w:bCs/>
                <w:noProof/>
              </w:rPr>
            </w:pPr>
            <w:r w:rsidRPr="00FB77AE">
              <w:rPr>
                <w:bCs/>
                <w:noProof/>
              </w:rPr>
              <w:t>Dėl 8 priedo 1.2.</w:t>
            </w:r>
            <w:r>
              <w:rPr>
                <w:bCs/>
                <w:noProof/>
              </w:rPr>
              <w:t>2</w:t>
            </w:r>
            <w:r w:rsidRPr="00FB77AE">
              <w:rPr>
                <w:bCs/>
                <w:noProof/>
              </w:rPr>
              <w:t>.</w:t>
            </w:r>
            <w:r>
              <w:rPr>
                <w:bCs/>
                <w:noProof/>
              </w:rPr>
              <w:t>, 1.2.3., 1.2.4.</w:t>
            </w:r>
            <w:r w:rsidRPr="00FB77AE">
              <w:rPr>
                <w:bCs/>
                <w:noProof/>
              </w:rPr>
              <w:t xml:space="preserve"> p.:</w:t>
            </w:r>
          </w:p>
          <w:p w:rsidR="00133229" w:rsidRPr="00281D79" w:rsidRDefault="00133229" w:rsidP="004B5176">
            <w:pPr>
              <w:jc w:val="both"/>
              <w:rPr>
                <w:bCs/>
                <w:noProof/>
              </w:rPr>
            </w:pPr>
            <w:r w:rsidRPr="0077591B">
              <w:rPr>
                <w:bCs/>
                <w:noProof/>
              </w:rPr>
              <w:t>Lentelės 1.2 nurodyti reikalavimai specialistams ir dokumentai, kurie turės būti pateikti, tačiau taip pat prie reikalavimų specialistams taip pat nurodyti papil</w:t>
            </w:r>
            <w:r w:rsidRPr="00645065">
              <w:rPr>
                <w:bCs/>
                <w:noProof/>
              </w:rPr>
              <w:t>domi dokumentai ar nuorodos, kurios turi būti pateiktos. Neaišku, kuria informacija tiekėjui remtis:</w:t>
            </w:r>
          </w:p>
          <w:p w:rsidR="00133229" w:rsidRDefault="00133229" w:rsidP="004B5176">
            <w:pPr>
              <w:jc w:val="both"/>
              <w:rPr>
                <w:bCs/>
                <w:noProof/>
              </w:rPr>
            </w:pPr>
            <w:r w:rsidRPr="00281D79">
              <w:rPr>
                <w:bCs/>
                <w:noProof/>
              </w:rPr>
              <w:t>Web dizaineriui  nekeliamas reikalavimas turėti tam tikrus</w:t>
            </w:r>
            <w:r w:rsidRPr="00E00908">
              <w:rPr>
                <w:bCs/>
                <w:noProof/>
              </w:rPr>
              <w:t xml:space="preserve"> pažymėjimus ar sertifikatus, todėl neaišku, kokias pažymėjimų ar sertifikatų skenuotas kopijas ar nuorodas prašoma pateikti.</w:t>
            </w:r>
          </w:p>
          <w:p w:rsidR="00133229" w:rsidRDefault="00133229" w:rsidP="004B5176">
            <w:pPr>
              <w:jc w:val="both"/>
              <w:rPr>
                <w:bCs/>
                <w:noProof/>
              </w:rPr>
            </w:pPr>
            <w:r w:rsidRPr="00563E45">
              <w:rPr>
                <w:bCs/>
                <w:noProof/>
              </w:rPr>
              <w:t>Vidinės dalies programuotojui  nekeliamas reikalavimas turėti tam tikrus pažymėjimus ar sertifikatus, todėl neaišku, kokias pažymėjimų ar sertifikatų skenuotas kopijas ar nuorodas prašoma pateikti.</w:t>
            </w:r>
          </w:p>
          <w:p w:rsidR="00133229" w:rsidRDefault="00133229" w:rsidP="004B5176">
            <w:pPr>
              <w:jc w:val="both"/>
              <w:rPr>
                <w:bCs/>
                <w:noProof/>
              </w:rPr>
            </w:pPr>
            <w:r w:rsidRPr="00FB787E">
              <w:rPr>
                <w:bCs/>
                <w:noProof/>
              </w:rPr>
              <w:t>Išorinės dalies programuotojui nekeliamas reikalavimas turėti tam tikrus pažymėjimus ar sertifikatus, todėl neaišku, kokias pažymėjimų ar sertifikatų skenuotas kopijas ar nuorodas prašoma pateikti.</w:t>
            </w:r>
          </w:p>
        </w:tc>
        <w:tc>
          <w:tcPr>
            <w:tcW w:w="4671" w:type="dxa"/>
          </w:tcPr>
          <w:p w:rsidR="00133229" w:rsidRDefault="00133229" w:rsidP="004B5176">
            <w:pPr>
              <w:jc w:val="both"/>
              <w:rPr>
                <w:bCs/>
                <w:noProof/>
              </w:rPr>
            </w:pPr>
            <w:r>
              <w:rPr>
                <w:bCs/>
                <w:noProof/>
              </w:rPr>
              <w:t>Specialiųjų pirkimo sąlygų 8 priedo lentelės 1.2. p. nurodyti bendriniai reikalavimai, o konkretūs kvalifikaciniai reikalavimai keliami kievienam specialistui, nurodyti 1.2.2. – 1.2.4. papunkčiuose. Dokumentai, įrodantys specialisto atitiktį keliamiems reikalavimas, teikiami ir pagal bendruosius 1.2. p. reikalavimus (specialisto sutikimas, pasirašytas CV su projektų aprašymais) ir papildomai nedubliuojant pagal 1.2.2. – 1.2.4. p. papunkčius: sertifikatai, pažymėjimai ir t.t.</w:t>
            </w:r>
          </w:p>
          <w:p w:rsidR="00133229" w:rsidRPr="00D77090" w:rsidRDefault="00133229" w:rsidP="004B5176">
            <w:pPr>
              <w:jc w:val="both"/>
              <w:rPr>
                <w:bCs/>
                <w:noProof/>
                <w:highlight w:val="yellow"/>
              </w:rPr>
            </w:pPr>
            <w:r>
              <w:rPr>
                <w:bCs/>
                <w:noProof/>
              </w:rPr>
              <w:t>Perkančioji organizacija</w:t>
            </w:r>
            <w:r w:rsidRPr="007B743F">
              <w:rPr>
                <w:bCs/>
                <w:noProof/>
              </w:rPr>
              <w:t xml:space="preserve"> </w:t>
            </w:r>
            <w:r w:rsidRPr="00D77090">
              <w:rPr>
                <w:bCs/>
                <w:noProof/>
              </w:rPr>
              <w:t>visų lygių sertifikatus laikys</w:t>
            </w:r>
            <w:r>
              <w:rPr>
                <w:bCs/>
                <w:noProof/>
              </w:rPr>
              <w:t xml:space="preserve"> </w:t>
            </w:r>
            <w:r w:rsidRPr="00D77090">
              <w:rPr>
                <w:bCs/>
                <w:noProof/>
              </w:rPr>
              <w:t>tinkamais, jeigu kvalifikaciją įrodančiuose dokumentuose: pažymėjimuose, kvalifikacijos sertifikatuose ar lygiaverčiuose dokumentuose atsispindės atitiktis keliamiems reikalavimams.</w:t>
            </w:r>
          </w:p>
        </w:tc>
      </w:tr>
      <w:tr w:rsidR="00133229" w:rsidTr="00246DCB">
        <w:tc>
          <w:tcPr>
            <w:tcW w:w="570" w:type="dxa"/>
          </w:tcPr>
          <w:p w:rsidR="00133229" w:rsidRPr="000F03AC" w:rsidRDefault="00133229" w:rsidP="000F03AC">
            <w:pPr>
              <w:jc w:val="both"/>
              <w:rPr>
                <w:bCs/>
                <w:noProof/>
              </w:rPr>
            </w:pPr>
            <w:r>
              <w:rPr>
                <w:bCs/>
                <w:noProof/>
              </w:rPr>
              <w:t>5.</w:t>
            </w:r>
          </w:p>
        </w:tc>
        <w:tc>
          <w:tcPr>
            <w:tcW w:w="4387" w:type="dxa"/>
          </w:tcPr>
          <w:p w:rsidR="00133229" w:rsidRPr="000F03AC" w:rsidRDefault="00133229" w:rsidP="000F03AC">
            <w:pPr>
              <w:jc w:val="both"/>
              <w:rPr>
                <w:bCs/>
                <w:noProof/>
              </w:rPr>
            </w:pPr>
            <w:r w:rsidRPr="000F03AC">
              <w:rPr>
                <w:bCs/>
                <w:noProof/>
              </w:rPr>
              <w:t>Dėl vystymo ir priežiūros paslaugų pirkimo logikos</w:t>
            </w:r>
          </w:p>
          <w:p w:rsidR="00133229" w:rsidRPr="00FB77AE" w:rsidRDefault="00133229" w:rsidP="000F03AC">
            <w:pPr>
              <w:jc w:val="both"/>
              <w:rPr>
                <w:bCs/>
                <w:noProof/>
              </w:rPr>
            </w:pPr>
            <w:r w:rsidRPr="000F03AC">
              <w:rPr>
                <w:bCs/>
                <w:noProof/>
              </w:rPr>
              <w:t>Norime suprasti, kodėl Perkančioji organizacija planuoja pirkti svetainės vystymo ir priežiūros paslaugas iš trečiosios šalies dar nepaleidus naujos svetainės, bei kodėl šių paslaugų neatliks naują svetainę sukūrusi komanda ar įmonė. Tokia praktika kelia riziką dėl tęstinumo, žinių perdavimo ir techninės atsakomybės už esamą kodą bei architektūrinius sprendimus.</w:t>
            </w:r>
          </w:p>
        </w:tc>
        <w:tc>
          <w:tcPr>
            <w:tcW w:w="4671" w:type="dxa"/>
          </w:tcPr>
          <w:p w:rsidR="00133229" w:rsidRDefault="00133229" w:rsidP="004B5176">
            <w:pPr>
              <w:jc w:val="both"/>
              <w:rPr>
                <w:bCs/>
                <w:noProof/>
              </w:rPr>
            </w:pPr>
            <w:r w:rsidRPr="000F03AC">
              <w:rPr>
                <w:bCs/>
                <w:noProof/>
              </w:rPr>
              <w:t>Ankstesniu pirkimu buvo suplanuotas naujos svetainės kūrimas ir tam tikras valandų skaičius vystymui po svetainės paleidimo. Dėl skubių užduočių, susijusių su LR teisės aktų įgyvendinimu, vystymo valandos išnaudotos anksčiau. Tam, kad būtų užtikrintas naujos svetainės tinkamas veikimas, atliekamas naujas sodra.lt svetainės vystymo paslaugų pirkimas 36 mėn.</w:t>
            </w:r>
          </w:p>
        </w:tc>
      </w:tr>
      <w:tr w:rsidR="00133229" w:rsidTr="00246DCB">
        <w:tc>
          <w:tcPr>
            <w:tcW w:w="570" w:type="dxa"/>
          </w:tcPr>
          <w:p w:rsidR="00133229" w:rsidRPr="000F03AC" w:rsidRDefault="00133229" w:rsidP="000F03AC">
            <w:pPr>
              <w:jc w:val="both"/>
              <w:rPr>
                <w:bCs/>
                <w:noProof/>
              </w:rPr>
            </w:pPr>
            <w:r>
              <w:rPr>
                <w:bCs/>
                <w:noProof/>
              </w:rPr>
              <w:lastRenderedPageBreak/>
              <w:t>6.</w:t>
            </w:r>
          </w:p>
        </w:tc>
        <w:tc>
          <w:tcPr>
            <w:tcW w:w="4387" w:type="dxa"/>
          </w:tcPr>
          <w:p w:rsidR="00133229" w:rsidRPr="000F03AC" w:rsidRDefault="00133229" w:rsidP="000F03AC">
            <w:pPr>
              <w:jc w:val="both"/>
              <w:rPr>
                <w:bCs/>
                <w:noProof/>
              </w:rPr>
            </w:pPr>
            <w:r w:rsidRPr="000F03AC">
              <w:rPr>
                <w:bCs/>
                <w:noProof/>
              </w:rPr>
              <w:t>2. Dėl galimybės susipažinti su svetainės kodu prieš pasiūlymo pateikimą</w:t>
            </w:r>
          </w:p>
          <w:p w:rsidR="00133229" w:rsidRPr="000F03AC" w:rsidRDefault="00133229" w:rsidP="000F03AC">
            <w:pPr>
              <w:jc w:val="both"/>
              <w:rPr>
                <w:bCs/>
                <w:noProof/>
              </w:rPr>
            </w:pPr>
          </w:p>
          <w:p w:rsidR="00133229" w:rsidRPr="000F03AC" w:rsidRDefault="00133229" w:rsidP="000F03AC">
            <w:pPr>
              <w:jc w:val="both"/>
              <w:rPr>
                <w:bCs/>
                <w:noProof/>
              </w:rPr>
            </w:pPr>
            <w:r w:rsidRPr="000F03AC">
              <w:rPr>
                <w:bCs/>
                <w:noProof/>
              </w:rPr>
              <w:t>Pagal TS reikalavimus, sutartį pasirašęs tiekėjas turės ne tik kurti naujas funkcijas, bet ir šalinti veikimo sutrikimus, užtikrinti kibernetinį saugumą bei bendrą sistemos stabilumą. Šios veiklos tiesiogiai susijusios su esamo svetainės kodo kokybe ir saugumo lygmeniu.</w:t>
            </w:r>
          </w:p>
          <w:p w:rsidR="00133229" w:rsidRPr="000F03AC" w:rsidRDefault="00133229" w:rsidP="000F03AC">
            <w:pPr>
              <w:jc w:val="both"/>
              <w:rPr>
                <w:bCs/>
                <w:noProof/>
              </w:rPr>
            </w:pPr>
          </w:p>
          <w:p w:rsidR="00133229" w:rsidRPr="000F03AC" w:rsidRDefault="00133229" w:rsidP="000F03AC">
            <w:pPr>
              <w:jc w:val="both"/>
              <w:rPr>
                <w:bCs/>
                <w:noProof/>
              </w:rPr>
            </w:pPr>
            <w:r w:rsidRPr="000F03AC">
              <w:rPr>
                <w:bCs/>
                <w:noProof/>
              </w:rPr>
              <w:t>Nors TS pateikiama informacija apie naudotas technologijas, ji nesudaro galimybės objektyviai įvertinti kodo kokybės, struktūros ar saugumo sprendimų. Pagal mūsų ilgametę patirtį, įrankis „Elementor“, kuriuo paremta nauja „Sodros“ svetainė, dažnai nėra tinkamas aukšto lygio, didelius srautus ir padidintus saugumo reikalavimus atitinkantiems sprendimams.</w:t>
            </w:r>
          </w:p>
          <w:p w:rsidR="00133229" w:rsidRPr="000F03AC" w:rsidRDefault="00133229" w:rsidP="000F03AC">
            <w:pPr>
              <w:jc w:val="both"/>
              <w:rPr>
                <w:bCs/>
                <w:noProof/>
              </w:rPr>
            </w:pPr>
          </w:p>
          <w:p w:rsidR="00133229" w:rsidRPr="000F03AC" w:rsidRDefault="00133229" w:rsidP="000F03AC">
            <w:pPr>
              <w:jc w:val="both"/>
              <w:rPr>
                <w:bCs/>
                <w:noProof/>
              </w:rPr>
            </w:pPr>
            <w:r w:rsidRPr="000F03AC">
              <w:rPr>
                <w:bCs/>
                <w:noProof/>
              </w:rPr>
              <w:t>Todėl laikome būtina, kad prieš pateikiant pasiūlymus tiekėjai galėtų detaliai susipažinti su esamo kodo struktūra ir kokybe. Prašome prie TS pridėti išsamią kodo dokumentaciją arba suteikti galimybę tiekėjams susipažinti su esamu kodu (pvz., per VPN ar kitą saugų kanalą).</w:t>
            </w:r>
          </w:p>
          <w:p w:rsidR="00133229" w:rsidRPr="000F03AC" w:rsidRDefault="00133229" w:rsidP="000F03AC">
            <w:pPr>
              <w:jc w:val="both"/>
              <w:rPr>
                <w:bCs/>
                <w:noProof/>
              </w:rPr>
            </w:pPr>
          </w:p>
          <w:p w:rsidR="00133229" w:rsidRPr="00FB77AE" w:rsidRDefault="00133229" w:rsidP="000F03AC">
            <w:pPr>
              <w:jc w:val="both"/>
              <w:rPr>
                <w:bCs/>
                <w:noProof/>
              </w:rPr>
            </w:pPr>
            <w:r w:rsidRPr="000F03AC">
              <w:rPr>
                <w:bCs/>
                <w:noProof/>
              </w:rPr>
              <w:t>Taip pat atkreipiame dėmesį, kad TS punktas Nr. 4.13 („Tiekėjas, laimėjęs viešojo pirkimo konkursą, turės savo sąnaudomis susipažinti su naujos Svetainės ir turinio valdymo sistemos techniniais sprendimais“) yra nelogiškas, nes tiekėjas negali pateikti realios ir pagrįstos kainos neturėdamas galimybės iš anksto susipažinti su techniniais sprendimais. Susipažinimas su jais tik po sutarties pasirašymo, mūsų nuomone, ribotų tiekėjų galimybes tinkamai įvertinti darbų apimtį, pateikti pagrįstą pasiūlymą bei užtikrinti skaidrią ir sąžiningą konkurenciją.</w:t>
            </w:r>
          </w:p>
        </w:tc>
        <w:tc>
          <w:tcPr>
            <w:tcW w:w="4671" w:type="dxa"/>
          </w:tcPr>
          <w:p w:rsidR="00133229" w:rsidRPr="000F03AC" w:rsidRDefault="00133229" w:rsidP="000F03AC">
            <w:pPr>
              <w:jc w:val="both"/>
              <w:rPr>
                <w:bCs/>
                <w:noProof/>
              </w:rPr>
            </w:pPr>
            <w:r w:rsidRPr="000F03AC">
              <w:rPr>
                <w:bCs/>
                <w:noProof/>
              </w:rPr>
              <w:t xml:space="preserve">Rangovai darbus pradeda tik susipažinę su Rangovų prieigos prie Valstybinio socialinio draudimo fondo valdybos prie Socialinės apsaugos ir darbo ministerijos informacinės sistemos aprašu ir pasirašę konfidencialumo pasižadėjimus. </w:t>
            </w:r>
          </w:p>
          <w:p w:rsidR="00133229" w:rsidRDefault="00133229" w:rsidP="000F03AC">
            <w:pPr>
              <w:jc w:val="both"/>
              <w:rPr>
                <w:bCs/>
                <w:noProof/>
              </w:rPr>
            </w:pPr>
            <w:r w:rsidRPr="000F03AC">
              <w:rPr>
                <w:bCs/>
                <w:noProof/>
              </w:rPr>
              <w:t>Dėl nurodytų priežasčių ir ankstesniuose pirkimuose netaikytas išankstinis susipažinimas su svetainės kodu. Tiekėjai vystymo ir priežiūros paslaugas suteikė tinkamai.</w:t>
            </w:r>
          </w:p>
        </w:tc>
      </w:tr>
      <w:tr w:rsidR="00133229" w:rsidTr="00246DCB">
        <w:tc>
          <w:tcPr>
            <w:tcW w:w="570" w:type="dxa"/>
          </w:tcPr>
          <w:p w:rsidR="00133229" w:rsidRPr="000F03AC" w:rsidRDefault="00133229" w:rsidP="000F03AC">
            <w:pPr>
              <w:jc w:val="both"/>
              <w:rPr>
                <w:bCs/>
                <w:noProof/>
              </w:rPr>
            </w:pPr>
            <w:r>
              <w:rPr>
                <w:bCs/>
                <w:noProof/>
              </w:rPr>
              <w:t>7.</w:t>
            </w:r>
          </w:p>
        </w:tc>
        <w:tc>
          <w:tcPr>
            <w:tcW w:w="4387" w:type="dxa"/>
          </w:tcPr>
          <w:p w:rsidR="00133229" w:rsidRPr="000F03AC" w:rsidRDefault="00133229" w:rsidP="000F03AC">
            <w:pPr>
              <w:jc w:val="both"/>
              <w:rPr>
                <w:bCs/>
                <w:noProof/>
              </w:rPr>
            </w:pPr>
            <w:r w:rsidRPr="000F03AC">
              <w:rPr>
                <w:bCs/>
                <w:noProof/>
              </w:rPr>
              <w:t>Dėl serverio ir infrastruktūros informacijos</w:t>
            </w:r>
          </w:p>
          <w:p w:rsidR="00133229" w:rsidRPr="000F03AC" w:rsidRDefault="00133229" w:rsidP="000F03AC">
            <w:pPr>
              <w:jc w:val="both"/>
              <w:rPr>
                <w:bCs/>
                <w:noProof/>
              </w:rPr>
            </w:pPr>
            <w:r w:rsidRPr="000F03AC">
              <w:rPr>
                <w:bCs/>
                <w:noProof/>
              </w:rPr>
              <w:t xml:space="preserve">Vienas iš kibernetinio saugumo aspektų yra infrastruktūros saugumas. Atliekant auditus, dažnai nustatomos kritinės saugumo spragos, susijusios su serverio </w:t>
            </w:r>
            <w:r w:rsidRPr="000F03AC">
              <w:rPr>
                <w:bCs/>
                <w:noProof/>
              </w:rPr>
              <w:lastRenderedPageBreak/>
              <w:t>konfigūracija, OS versijomis ar kitais parametrais. Kadangi tiekėjas pagal TS privalės per trumpą laiką šalinti kritinius saugumo pažeidimus, prašome:</w:t>
            </w:r>
          </w:p>
          <w:p w:rsidR="00133229" w:rsidRPr="000F03AC" w:rsidRDefault="00133229" w:rsidP="000F03AC">
            <w:pPr>
              <w:jc w:val="both"/>
              <w:rPr>
                <w:bCs/>
                <w:noProof/>
              </w:rPr>
            </w:pPr>
          </w:p>
          <w:p w:rsidR="00133229" w:rsidRPr="000F03AC" w:rsidRDefault="00133229" w:rsidP="000F03AC">
            <w:pPr>
              <w:jc w:val="both"/>
              <w:rPr>
                <w:bCs/>
                <w:noProof/>
              </w:rPr>
            </w:pPr>
            <w:r w:rsidRPr="000F03AC">
              <w:rPr>
                <w:bCs/>
                <w:noProof/>
              </w:rPr>
              <w:t>- pateikti detalią virtualaus serverio (ar serverių) konfigūraciją,</w:t>
            </w:r>
          </w:p>
          <w:p w:rsidR="00133229" w:rsidRPr="000F03AC" w:rsidRDefault="00133229" w:rsidP="000F03AC">
            <w:pPr>
              <w:jc w:val="both"/>
              <w:rPr>
                <w:bCs/>
                <w:noProof/>
              </w:rPr>
            </w:pPr>
          </w:p>
          <w:p w:rsidR="00133229" w:rsidRPr="00FB77AE" w:rsidRDefault="00133229" w:rsidP="000F03AC">
            <w:pPr>
              <w:jc w:val="both"/>
              <w:rPr>
                <w:bCs/>
                <w:noProof/>
              </w:rPr>
            </w:pPr>
            <w:r w:rsidRPr="000F03AC">
              <w:rPr>
                <w:bCs/>
                <w:noProof/>
              </w:rPr>
              <w:t>- patikslinti, ar tiekėjui bus suteikti „root“ arba kiti administraciniai prisijungimai, jei reikės atlikti konfigūracines korekcijas.</w:t>
            </w:r>
          </w:p>
        </w:tc>
        <w:tc>
          <w:tcPr>
            <w:tcW w:w="4671" w:type="dxa"/>
          </w:tcPr>
          <w:p w:rsidR="00133229" w:rsidRPr="000F03AC" w:rsidRDefault="00133229" w:rsidP="000F03AC">
            <w:pPr>
              <w:jc w:val="both"/>
              <w:rPr>
                <w:bCs/>
                <w:noProof/>
              </w:rPr>
            </w:pPr>
            <w:r w:rsidRPr="000F03AC">
              <w:rPr>
                <w:bCs/>
                <w:noProof/>
              </w:rPr>
              <w:lastRenderedPageBreak/>
              <w:t xml:space="preserve">Rangovams serverio ir infrastruktūros informacija, reikalingi prisijungimai vykdyti sutartinius įsipareigojimus pateikiami pasirašius sutartį, susipažinus su Rangovų prieigos prie Valstybinio socialinio draudimo </w:t>
            </w:r>
            <w:r w:rsidRPr="000F03AC">
              <w:rPr>
                <w:bCs/>
                <w:noProof/>
              </w:rPr>
              <w:lastRenderedPageBreak/>
              <w:t xml:space="preserve">fondo valdybos prie Socialinės apsaugos ir darbo ministerijos informacinės sistemos aprašu ir pasirašius konfidencialumo pasižadėjimus. </w:t>
            </w:r>
          </w:p>
          <w:p w:rsidR="00133229" w:rsidRDefault="00133229" w:rsidP="000F03AC">
            <w:pPr>
              <w:jc w:val="both"/>
              <w:rPr>
                <w:bCs/>
                <w:noProof/>
              </w:rPr>
            </w:pPr>
            <w:r w:rsidRPr="000F03AC">
              <w:rPr>
                <w:bCs/>
                <w:noProof/>
              </w:rPr>
              <w:t>Prisijungimo sąlygos yra pateiktos pirkimo dokumentų SS 10 priede Teisės aktuose - žiūrėti Rangovų prieigos prie informacinės sistemos suteikimo sąlygos ir tvarka III skyrius).</w:t>
            </w:r>
          </w:p>
        </w:tc>
      </w:tr>
      <w:tr w:rsidR="00133229" w:rsidTr="00246DCB">
        <w:tc>
          <w:tcPr>
            <w:tcW w:w="570" w:type="dxa"/>
          </w:tcPr>
          <w:p w:rsidR="00133229" w:rsidRPr="000F03AC" w:rsidRDefault="00133229" w:rsidP="000F03AC">
            <w:pPr>
              <w:jc w:val="both"/>
              <w:rPr>
                <w:bCs/>
                <w:noProof/>
              </w:rPr>
            </w:pPr>
            <w:r>
              <w:rPr>
                <w:bCs/>
                <w:noProof/>
              </w:rPr>
              <w:lastRenderedPageBreak/>
              <w:t>8.</w:t>
            </w:r>
          </w:p>
        </w:tc>
        <w:tc>
          <w:tcPr>
            <w:tcW w:w="4387" w:type="dxa"/>
          </w:tcPr>
          <w:p w:rsidR="00133229" w:rsidRPr="000F03AC" w:rsidRDefault="00133229" w:rsidP="000F03AC">
            <w:pPr>
              <w:jc w:val="both"/>
              <w:rPr>
                <w:bCs/>
                <w:noProof/>
              </w:rPr>
            </w:pPr>
            <w:r w:rsidRPr="000F03AC">
              <w:rPr>
                <w:bCs/>
                <w:noProof/>
              </w:rPr>
              <w:t>Norime pasitikslinti, ar teisingai suprantame, kad į garantiją turi būti įtrauktas šis tekstas:</w:t>
            </w:r>
          </w:p>
          <w:p w:rsidR="00133229" w:rsidRPr="000F03AC" w:rsidRDefault="00133229" w:rsidP="000F03AC">
            <w:pPr>
              <w:jc w:val="both"/>
              <w:rPr>
                <w:bCs/>
                <w:noProof/>
              </w:rPr>
            </w:pPr>
          </w:p>
          <w:p w:rsidR="00133229" w:rsidRPr="000F03AC" w:rsidRDefault="00133229" w:rsidP="000F03AC">
            <w:pPr>
              <w:jc w:val="both"/>
              <w:rPr>
                <w:bCs/>
                <w:noProof/>
              </w:rPr>
            </w:pPr>
            <w:r w:rsidRPr="000F03AC">
              <w:rPr>
                <w:bCs/>
                <w:noProof/>
              </w:rPr>
              <w:t>gavę pirmą Užsakovo raštišką mokėjimo reikalavimą (originalą) su nuoroda į šią garantiją. Užsakovas neprivalo pagrįsti mokėjimo reikalavimo, tačiau savo rašte turi nurodyti, kad reikalaujama suma priklauso Užsakovui, nes Tiekėjas padarė bent vieną iš žemiau nurodytų Konkurso sąlygų pažeidimų, įvardindamas šį pažeidimą:</w:t>
            </w:r>
          </w:p>
          <w:p w:rsidR="00133229" w:rsidRPr="000F03AC" w:rsidRDefault="00133229" w:rsidP="000F03AC">
            <w:pPr>
              <w:jc w:val="both"/>
              <w:rPr>
                <w:bCs/>
                <w:noProof/>
              </w:rPr>
            </w:pPr>
            <w:r w:rsidRPr="000F03AC">
              <w:rPr>
                <w:bCs/>
                <w:noProof/>
              </w:rPr>
              <w:t>1. pasiūlymo galiojimo laikotarpiu Tiekėjas atsiima savo pasiūlymą;</w:t>
            </w:r>
          </w:p>
          <w:p w:rsidR="00133229" w:rsidRPr="000F03AC" w:rsidRDefault="00133229" w:rsidP="000F03AC">
            <w:pPr>
              <w:jc w:val="both"/>
              <w:rPr>
                <w:bCs/>
                <w:noProof/>
              </w:rPr>
            </w:pPr>
            <w:r w:rsidRPr="000F03AC">
              <w:rPr>
                <w:bCs/>
                <w:noProof/>
              </w:rPr>
              <w:t>2. Tiekėją pripažinus Konkurso laimėtoju, Tiekėjas iki Užsakovo nurodyto laiko neatvyksta sudaryti pirkimo sutarties;</w:t>
            </w:r>
          </w:p>
          <w:p w:rsidR="00133229" w:rsidRPr="00FB77AE" w:rsidRDefault="00133229" w:rsidP="000F03AC">
            <w:pPr>
              <w:jc w:val="both"/>
              <w:rPr>
                <w:bCs/>
                <w:noProof/>
              </w:rPr>
            </w:pPr>
            <w:r w:rsidRPr="000F03AC">
              <w:rPr>
                <w:bCs/>
                <w:noProof/>
              </w:rPr>
              <w:t>3. Tiekėją pripažinus Konkurso laimėtoju, Tiekėjas nepateikia Konkurso dokumentuose nustatyto sutarties įvykdymo užtikrinimo (jei reikalaujamas).</w:t>
            </w:r>
          </w:p>
        </w:tc>
        <w:tc>
          <w:tcPr>
            <w:tcW w:w="4671" w:type="dxa"/>
          </w:tcPr>
          <w:p w:rsidR="00133229" w:rsidRDefault="00133229" w:rsidP="004B5176">
            <w:pPr>
              <w:jc w:val="both"/>
              <w:rPr>
                <w:bCs/>
                <w:noProof/>
              </w:rPr>
            </w:pPr>
            <w:r w:rsidRPr="000F03AC">
              <w:rPr>
                <w:bCs/>
                <w:noProof/>
              </w:rPr>
              <w:t>Pasiūlymo užtikrinimo garantijoje turi būti įtrauktos sąlygos nurodytos Specialiųjų pirkimo sąlygų 7.7, 7.8. punktuose.</w:t>
            </w:r>
          </w:p>
        </w:tc>
      </w:tr>
    </w:tbl>
    <w:p w:rsidR="00146B70" w:rsidRDefault="00146B70" w:rsidP="00146B70">
      <w:pPr>
        <w:tabs>
          <w:tab w:val="left" w:pos="993"/>
        </w:tabs>
        <w:ind w:firstLine="567"/>
        <w:jc w:val="both"/>
      </w:pPr>
    </w:p>
    <w:p w:rsidR="002D62B0" w:rsidRDefault="002D62B0">
      <w:r>
        <w:t xml:space="preserve">Komisijos pirmininkė </w:t>
      </w:r>
      <w:r w:rsidR="00B979DE">
        <w:t>Renata Radžiutė</w:t>
      </w:r>
    </w:p>
    <w:sectPr w:rsidR="002D62B0" w:rsidSect="002329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7A"/>
    <w:rsid w:val="000957C4"/>
    <w:rsid w:val="000C3C7A"/>
    <w:rsid w:val="000F03AC"/>
    <w:rsid w:val="000F6CAA"/>
    <w:rsid w:val="00133229"/>
    <w:rsid w:val="0013564A"/>
    <w:rsid w:val="00146B70"/>
    <w:rsid w:val="00232902"/>
    <w:rsid w:val="00246DCB"/>
    <w:rsid w:val="002D62B0"/>
    <w:rsid w:val="00320880"/>
    <w:rsid w:val="0037550D"/>
    <w:rsid w:val="0048519C"/>
    <w:rsid w:val="004C4DFF"/>
    <w:rsid w:val="00553F2C"/>
    <w:rsid w:val="006D6E56"/>
    <w:rsid w:val="006E4E51"/>
    <w:rsid w:val="00A53183"/>
    <w:rsid w:val="00A7037F"/>
    <w:rsid w:val="00A857F5"/>
    <w:rsid w:val="00B5331B"/>
    <w:rsid w:val="00B979DE"/>
    <w:rsid w:val="00BD29FD"/>
    <w:rsid w:val="00C05A68"/>
    <w:rsid w:val="00C12C40"/>
    <w:rsid w:val="00C30CC4"/>
    <w:rsid w:val="00C3247A"/>
    <w:rsid w:val="00C52286"/>
    <w:rsid w:val="00DA49BA"/>
    <w:rsid w:val="00E37EDE"/>
    <w:rsid w:val="00E40E43"/>
    <w:rsid w:val="00F63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20A7"/>
  <w15:chartTrackingRefBased/>
  <w15:docId w15:val="{0054C657-19B2-4CCF-A136-E176D62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0C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4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6519</Words>
  <Characters>3717</Characters>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2025-10-15T10:46:00Z</dcterms:created>
  <dcterms:modified xsi:type="dcterms:W3CDTF">2025-10-15T10:46:00Z</dcterms:modified>
</cp:coreProperties>
</file>