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67A9" w14:textId="35201A52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Pr="00FB6A64" w:rsidRDefault="009207F4" w:rsidP="009207F4">
      <w:pPr>
        <w:rPr>
          <w:lang w:val="lt-LT"/>
        </w:rPr>
      </w:pPr>
    </w:p>
    <w:p w14:paraId="5959C15A" w14:textId="77777777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 w:rsidRPr="00FB6A64">
        <w:rPr>
          <w:rFonts w:ascii="Arial" w:eastAsia="Arial" w:hAnsi="Arial" w:cs="Arial"/>
          <w:sz w:val="20"/>
          <w:szCs w:val="20"/>
          <w:lang w:val="lt-LT"/>
        </w:rPr>
        <w:t xml:space="preserve">PATVIRTINTA </w:t>
      </w:r>
    </w:p>
    <w:p w14:paraId="46C25C90" w14:textId="1D9733D4" w:rsidR="009207F4" w:rsidRPr="00FB6A64" w:rsidRDefault="00890162" w:rsidP="0083017E">
      <w:pPr>
        <w:spacing w:after="0"/>
        <w:ind w:left="5103"/>
        <w:rPr>
          <w:rFonts w:ascii="Arial" w:eastAsia="Arial" w:hAnsi="Arial" w:cs="Arial"/>
          <w:color w:val="00B050"/>
          <w:sz w:val="20"/>
          <w:szCs w:val="20"/>
          <w:lang w:val="lt-LT"/>
        </w:rPr>
      </w:pPr>
      <w:r>
        <w:rPr>
          <w:rFonts w:ascii="Arial" w:eastAsia="Arial" w:hAnsi="Arial" w:cs="Arial"/>
          <w:color w:val="00B050"/>
          <w:sz w:val="20"/>
          <w:szCs w:val="20"/>
          <w:lang w:val="lt-LT"/>
        </w:rPr>
        <w:t>P</w:t>
      </w:r>
      <w:r w:rsidR="009207F4" w:rsidRPr="00FB6A64">
        <w:rPr>
          <w:rFonts w:ascii="Arial" w:eastAsia="Arial" w:hAnsi="Arial" w:cs="Arial"/>
          <w:color w:val="00B050"/>
          <w:sz w:val="20"/>
          <w:szCs w:val="20"/>
          <w:lang w:val="lt-LT"/>
        </w:rPr>
        <w:t xml:space="preserve">irkimų </w:t>
      </w:r>
      <w:r w:rsidR="009207F4" w:rsidRPr="00C57F93">
        <w:rPr>
          <w:rFonts w:ascii="Arial" w:eastAsia="Arial" w:hAnsi="Arial" w:cs="Arial"/>
          <w:sz w:val="20"/>
          <w:szCs w:val="20"/>
          <w:lang w:val="lt-LT"/>
        </w:rPr>
        <w:t xml:space="preserve">komisijos </w:t>
      </w:r>
      <w:r w:rsidRPr="00C57F93">
        <w:rPr>
          <w:rFonts w:ascii="Arial" w:eastAsia="Arial" w:hAnsi="Arial" w:cs="Arial"/>
          <w:sz w:val="20"/>
          <w:szCs w:val="20"/>
          <w:lang w:val="lt-LT"/>
        </w:rPr>
        <w:t>2025-</w:t>
      </w:r>
      <w:r w:rsidR="00D815B8">
        <w:rPr>
          <w:rFonts w:ascii="Arial" w:eastAsia="Arial" w:hAnsi="Arial" w:cs="Arial"/>
          <w:sz w:val="20"/>
          <w:szCs w:val="20"/>
          <w:lang w:val="lt-LT"/>
        </w:rPr>
        <w:t>10-15</w:t>
      </w:r>
      <w:r w:rsidR="00EB0593">
        <w:rPr>
          <w:rFonts w:ascii="Arial" w:eastAsia="Arial" w:hAnsi="Arial" w:cs="Arial"/>
          <w:sz w:val="20"/>
          <w:szCs w:val="20"/>
          <w:lang w:val="lt-LT"/>
        </w:rPr>
        <w:t xml:space="preserve"> </w:t>
      </w:r>
      <w:r w:rsidR="009207F4" w:rsidRPr="00C57F93">
        <w:rPr>
          <w:rFonts w:ascii="Arial" w:eastAsia="Arial" w:hAnsi="Arial" w:cs="Arial"/>
          <w:sz w:val="20"/>
          <w:szCs w:val="20"/>
          <w:lang w:val="lt-LT"/>
        </w:rPr>
        <w:t xml:space="preserve">protokolu Nr. </w:t>
      </w:r>
      <w:r w:rsidRPr="00C57F93">
        <w:rPr>
          <w:rFonts w:ascii="Arial" w:eastAsia="Arial" w:hAnsi="Arial" w:cs="Arial"/>
          <w:sz w:val="20"/>
          <w:szCs w:val="20"/>
          <w:lang w:val="lt-LT"/>
        </w:rPr>
        <w:t>1</w:t>
      </w:r>
    </w:p>
    <w:p w14:paraId="2965D129" w14:textId="77777777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 w:rsidRPr="00FB6A64">
        <w:rPr>
          <w:rFonts w:ascii="Arial" w:eastAsia="Arial" w:hAnsi="Arial" w:cs="Arial"/>
          <w:sz w:val="20"/>
          <w:szCs w:val="20"/>
          <w:lang w:val="lt-LT"/>
        </w:rPr>
        <w:t xml:space="preserve">PAKEITIMAI PATVIRTINTI: </w:t>
      </w:r>
    </w:p>
    <w:p w14:paraId="4DF85E08" w14:textId="077D8728" w:rsidR="009207F4" w:rsidRPr="00FB6A64" w:rsidRDefault="009207F4" w:rsidP="0083017E">
      <w:pPr>
        <w:spacing w:after="0"/>
        <w:ind w:left="5103"/>
        <w:rPr>
          <w:rFonts w:ascii="Arial" w:eastAsia="Arial" w:hAnsi="Arial" w:cs="Arial"/>
          <w:i/>
          <w:color w:val="0070C0"/>
          <w:sz w:val="20"/>
          <w:szCs w:val="20"/>
          <w:lang w:val="lt-LT"/>
        </w:rPr>
      </w:pPr>
      <w:r w:rsidRPr="00FB6A64">
        <w:rPr>
          <w:rFonts w:ascii="Arial" w:eastAsia="Arial" w:hAnsi="Arial" w:cs="Arial"/>
          <w:i/>
          <w:color w:val="00B050"/>
          <w:sz w:val="20"/>
          <w:szCs w:val="20"/>
          <w:lang w:val="lt-LT"/>
        </w:rPr>
        <w:t>NETAIKOMA</w:t>
      </w:r>
    </w:p>
    <w:p w14:paraId="6273723D" w14:textId="77777777" w:rsidR="009207F4" w:rsidRPr="00FB6A64" w:rsidRDefault="009207F4" w:rsidP="009207F4">
      <w:pPr>
        <w:rPr>
          <w:lang w:val="lt-LT"/>
        </w:rPr>
      </w:pPr>
    </w:p>
    <w:p w14:paraId="13C07034" w14:textId="77777777" w:rsidR="009207F4" w:rsidRPr="00FB6A64" w:rsidRDefault="009207F4" w:rsidP="009207F4">
      <w:pPr>
        <w:rPr>
          <w:lang w:val="lt-LT"/>
        </w:rPr>
      </w:pPr>
    </w:p>
    <w:p w14:paraId="66006FE7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75BF8DB8" w14:textId="77777777" w:rsidR="009207F4" w:rsidRPr="00FB6A64" w:rsidRDefault="009207F4" w:rsidP="009207F4">
      <w:pPr>
        <w:rPr>
          <w:rFonts w:ascii="Arial" w:hAnsi="Arial" w:cs="Arial"/>
          <w:sz w:val="28"/>
          <w:szCs w:val="28"/>
          <w:lang w:val="lt-LT"/>
        </w:rPr>
      </w:pPr>
    </w:p>
    <w:p w14:paraId="2436A3B1" w14:textId="77777777" w:rsidR="009207F4" w:rsidRPr="00FB6A64" w:rsidRDefault="009207F4" w:rsidP="009207F4">
      <w:pPr>
        <w:rPr>
          <w:lang w:val="lt-LT"/>
        </w:rPr>
      </w:pPr>
    </w:p>
    <w:p w14:paraId="461AE117" w14:textId="77777777" w:rsidR="009207F4" w:rsidRPr="00FB6A64" w:rsidRDefault="009207F4" w:rsidP="009207F4">
      <w:pPr>
        <w:rPr>
          <w:lang w:val="lt-LT"/>
        </w:rPr>
      </w:pPr>
    </w:p>
    <w:p w14:paraId="4C70B1BF" w14:textId="77777777" w:rsidR="00244754" w:rsidRPr="00FB6A64" w:rsidRDefault="00244754" w:rsidP="009207F4">
      <w:pPr>
        <w:rPr>
          <w:lang w:val="lt-LT"/>
        </w:rPr>
      </w:pPr>
    </w:p>
    <w:p w14:paraId="703C0239" w14:textId="77777777" w:rsidR="00244754" w:rsidRPr="00FB6A64" w:rsidRDefault="00244754" w:rsidP="009207F4">
      <w:pPr>
        <w:rPr>
          <w:lang w:val="lt-LT"/>
        </w:rPr>
      </w:pPr>
    </w:p>
    <w:p w14:paraId="20DC82E8" w14:textId="77777777" w:rsidR="00244754" w:rsidRPr="00FB6A64" w:rsidRDefault="00244754" w:rsidP="009207F4">
      <w:pPr>
        <w:rPr>
          <w:lang w:val="lt-LT"/>
        </w:rPr>
      </w:pPr>
    </w:p>
    <w:p w14:paraId="24AA0B4D" w14:textId="77777777" w:rsidR="00244754" w:rsidRPr="00FB6A64" w:rsidRDefault="00244754" w:rsidP="009207F4">
      <w:pPr>
        <w:rPr>
          <w:lang w:val="lt-LT"/>
        </w:rPr>
      </w:pPr>
    </w:p>
    <w:p w14:paraId="16D1B0ED" w14:textId="77777777" w:rsidR="00244754" w:rsidRPr="00FB6A64" w:rsidRDefault="00244754" w:rsidP="009207F4">
      <w:pPr>
        <w:rPr>
          <w:lang w:val="lt-LT"/>
        </w:rPr>
      </w:pPr>
    </w:p>
    <w:p w14:paraId="22026DE2" w14:textId="77777777" w:rsidR="00244754" w:rsidRPr="00FB6A64" w:rsidRDefault="00244754" w:rsidP="009207F4">
      <w:pPr>
        <w:rPr>
          <w:lang w:val="lt-LT"/>
        </w:rPr>
      </w:pPr>
    </w:p>
    <w:p w14:paraId="2BDDCF7F" w14:textId="66C22C69" w:rsidR="00D9128C" w:rsidRDefault="00D9128C">
      <w:pPr>
        <w:spacing w:after="160" w:line="259" w:lineRule="auto"/>
        <w:rPr>
          <w:lang w:val="lt-LT"/>
        </w:rPr>
      </w:pPr>
      <w:r>
        <w:rPr>
          <w:lang w:val="lt-LT"/>
        </w:rPr>
        <w:br w:type="page"/>
      </w:r>
    </w:p>
    <w:p w14:paraId="7F498D4B" w14:textId="77777777" w:rsidR="00A953EE" w:rsidRPr="00FB6A64" w:rsidRDefault="00A953EE" w:rsidP="00A953EE">
      <w:pPr>
        <w:pStyle w:val="Antrat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lastRenderedPageBreak/>
        <w:t>Vartojamos sąvokos</w:t>
      </w:r>
    </w:p>
    <w:p w14:paraId="43BE7F11" w14:textId="77777777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B6A64">
        <w:rPr>
          <w:rStyle w:val="Antrat1Diagrama"/>
          <w:rFonts w:ascii="Arial" w:eastAsia="Calibri" w:hAnsi="Arial" w:cs="Arial"/>
          <w:color w:val="000000"/>
          <w:sz w:val="21"/>
          <w:szCs w:val="21"/>
          <w:lang w:val="lt-LT"/>
        </w:rPr>
        <w:t>CPO IS.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</w:p>
    <w:p w14:paraId="7E1D7CB9" w14:textId="17C38AA5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="00E94C66" w:rsidRPr="00FB6A64">
        <w:rPr>
          <w:rStyle w:val="Antrat1Diagrama"/>
          <w:rFonts w:ascii="Arial" w:eastAsia="Calibri" w:hAnsi="Arial" w:cs="Arial"/>
          <w:caps w:val="0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įgaliotas atlikti fizinis asmuo</w:t>
      </w:r>
      <w:r w:rsidR="00E94C66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4C46C556" w14:textId="77777777" w:rsidR="00A953EE" w:rsidRPr="00FB6A64" w:rsidRDefault="00A953EE" w:rsidP="00A953EE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</w:p>
    <w:p w14:paraId="613A672A" w14:textId="77777777" w:rsidR="008800FB" w:rsidRPr="00B70EA6" w:rsidRDefault="42E70A94" w:rsidP="42E70A9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70EA6">
        <w:rPr>
          <w:rFonts w:ascii="Arial" w:hAnsi="Arial" w:cs="Arial"/>
          <w:b/>
          <w:bCs/>
          <w:sz w:val="21"/>
          <w:szCs w:val="21"/>
        </w:rPr>
        <w:t xml:space="preserve">Registracija ir veiksmai CPO IS </w:t>
      </w:r>
    </w:p>
    <w:p w14:paraId="1894A23B" w14:textId="3F97B842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gali atlikti tik Naudotojai, </w:t>
      </w:r>
      <w:r w:rsidR="008A3F62">
        <w:rPr>
          <w:rFonts w:ascii="Arial" w:hAnsi="Arial" w:cs="Arial"/>
          <w:caps w:val="0"/>
          <w:sz w:val="21"/>
          <w:szCs w:val="21"/>
          <w:lang w:val="lt-LT"/>
        </w:rPr>
        <w:t>naudojantis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jiems </w:t>
      </w:r>
      <w:r w:rsidR="005A6522">
        <w:rPr>
          <w:rFonts w:ascii="Arial" w:hAnsi="Arial" w:cs="Arial"/>
          <w:caps w:val="0"/>
          <w:sz w:val="21"/>
          <w:szCs w:val="21"/>
          <w:lang w:val="lt-LT"/>
        </w:rPr>
        <w:t>suteiktais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identifikavimo duomen</w:t>
      </w:r>
      <w:r w:rsidR="005A6522">
        <w:rPr>
          <w:rFonts w:ascii="Arial" w:hAnsi="Arial" w:cs="Arial"/>
          <w:caps w:val="0"/>
          <w:sz w:val="21"/>
          <w:szCs w:val="21"/>
          <w:lang w:val="lt-LT"/>
        </w:rPr>
        <w:t>imis.</w:t>
      </w:r>
    </w:p>
    <w:p w14:paraId="19208176" w14:textId="1A79E237" w:rsidR="002F6ECA" w:rsidRPr="00FB6A64" w:rsidRDefault="00D21741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Naudotojų registracija ir veiksmai CPO IS atliekami vadovaujantis šiuo aprašu ir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>CPO LT 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atalogo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instrukcija</w:t>
      </w:r>
      <w:r w:rsidRPr="00FB6A64">
        <w:rPr>
          <w:rFonts w:ascii="Arial" w:hAnsi="Arial" w:cs="Arial"/>
          <w:sz w:val="21"/>
          <w:szCs w:val="21"/>
          <w:lang w:val="lt-LT"/>
        </w:rPr>
        <w:t>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Naudotojų </w:t>
      </w:r>
      <w:r w:rsidR="002F6EC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registracijos tvarka skelbiama CPO IS. </w:t>
      </w:r>
    </w:p>
    <w:p w14:paraId="0F133F0C" w14:textId="77777777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0666528" w14:textId="64CD0D62" w:rsidR="00E90156" w:rsidRPr="00FB6A64" w:rsidRDefault="0064589C" w:rsidP="00E90156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="00E90156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IS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07A92EEE" w14:textId="7AE125A8" w:rsidR="0064589C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registruojami Naudotojai yra įgalioti atstovauti (įskaitant pasiūlymo pateikimą), </w:t>
      </w:r>
      <w:r w:rsidR="002A6E3E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tiekėjui </w:t>
      </w:r>
      <w:r w:rsidR="00D07DC3">
        <w:rPr>
          <w:rFonts w:ascii="Arial" w:hAnsi="Arial" w:cs="Arial"/>
          <w:bCs/>
          <w:caps w:val="0"/>
          <w:sz w:val="21"/>
          <w:szCs w:val="21"/>
          <w:lang w:val="lt-LT"/>
        </w:rPr>
        <w:t>dalyvaujant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DA1F4F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K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onkrečių pirkimų </w:t>
      </w:r>
      <w:r w:rsidR="00E84BFF">
        <w:rPr>
          <w:rFonts w:ascii="Arial" w:hAnsi="Arial" w:cs="Arial"/>
          <w:caps w:val="0"/>
          <w:sz w:val="21"/>
          <w:szCs w:val="21"/>
          <w:lang w:val="lt-LT"/>
        </w:rPr>
        <w:t>procedūrose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7360F794" w14:textId="468A5D55" w:rsidR="00E90156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jis sutinka, kad </w:t>
      </w:r>
      <w:r w:rsidR="00A9525F">
        <w:rPr>
          <w:rFonts w:ascii="Arial" w:hAnsi="Arial" w:cs="Arial"/>
          <w:caps w:val="0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audotojams nurodytais el. paštais b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ūtų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siunčiami CPO IS pranešimai. </w:t>
      </w:r>
    </w:p>
    <w:p w14:paraId="2CBB732B" w14:textId="0D70BB70" w:rsidR="006E7D4C" w:rsidRPr="00FB6A64" w:rsidRDefault="002A6E3E" w:rsidP="006E7D4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>Naudotojai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,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naujai registruojamiems ar keičiamiems Naudotojams suteikiami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Katalogo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instrukcijoje nustatyta tvarka.</w:t>
      </w:r>
    </w:p>
    <w:p w14:paraId="67DD076C" w14:textId="27F00A65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Naudotojo identifikavimo duomenys turi tokią pačią juridinę galią kaip ir įgalioto tiekėjo atstovo parašas. </w:t>
      </w:r>
      <w:r w:rsidR="00933754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iekėjas neturi teisės ginčyti </w:t>
      </w:r>
      <w:r w:rsidRPr="00FB6A64">
        <w:rPr>
          <w:rStyle w:val="Antrat1Diagrama"/>
          <w:rFonts w:ascii="Arial" w:eastAsia="Times New Roman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įvykdyto veiksmo, jeigu veiksmą atliko Naudotojas, kurį CPO LT identifikavo pagal tiekėjo Identifikavimo duomenis.</w:t>
      </w:r>
    </w:p>
    <w:p w14:paraId="0ED696E2" w14:textId="32FE7B65" w:rsidR="0094085C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2.7. </w:t>
      </w:r>
      <w:r w:rsidR="00E366C1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Tiekėjas užtikrina, kad </w:t>
      </w:r>
      <w:r w:rsidR="00E366C1">
        <w:rPr>
          <w:rFonts w:ascii="Arial" w:hAnsi="Arial" w:cs="Arial"/>
          <w:color w:val="000000"/>
          <w:sz w:val="21"/>
          <w:szCs w:val="21"/>
          <w:lang w:val="lt-LT"/>
        </w:rPr>
        <w:t xml:space="preserve">jo </w:t>
      </w:r>
      <w:r w:rsidR="00E366C1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IS siūlomos ir Užsakovams teikiamos Paslaugos / Prekės / Darbai atitinka pirkimo </w:t>
      </w:r>
      <w:r w:rsidR="00E366C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="00E366C1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techninę specifikaciją</w:t>
      </w:r>
      <w:r w:rsidR="00E366C1">
        <w:rPr>
          <w:rFonts w:ascii="Arial" w:hAnsi="Arial" w:cs="Arial"/>
          <w:color w:val="000000"/>
          <w:sz w:val="21"/>
          <w:szCs w:val="21"/>
          <w:lang w:val="lt-LT"/>
        </w:rPr>
        <w:t xml:space="preserve"> (įskaitant Bendrines technines charakteristikas) (toliau – techninė specifikacija)</w:t>
      </w:r>
      <w:r w:rsidR="00E366C1"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17BA133C" w14:textId="7FAC3B15" w:rsidR="00233873" w:rsidRPr="00FB6A64" w:rsidRDefault="00C7511E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  <w:r w:rsidRPr="00FB6A64">
        <w:rPr>
          <w:rFonts w:ascii="Arial" w:eastAsia="Calibri" w:hAnsi="Arial" w:cs="Arial"/>
          <w:sz w:val="21"/>
          <w:szCs w:val="21"/>
          <w:lang w:val="lt-LT"/>
        </w:rPr>
        <w:t xml:space="preserve">2.8. </w:t>
      </w:r>
      <w:r w:rsidR="00283952">
        <w:rPr>
          <w:rFonts w:ascii="Arial" w:eastAsia="Calibri" w:hAnsi="Arial" w:cs="Arial"/>
          <w:sz w:val="21"/>
          <w:szCs w:val="21"/>
          <w:lang w:val="lt-LT"/>
        </w:rPr>
        <w:t xml:space="preserve">Tiekėjo siūlomos techninių specifikacijų neatitinkančios </w:t>
      </w:r>
      <w:r w:rsidR="00283952" w:rsidRPr="00FB6A64">
        <w:rPr>
          <w:rFonts w:ascii="Arial" w:eastAsia="Calibri" w:hAnsi="Arial" w:cs="Arial"/>
          <w:sz w:val="21"/>
          <w:szCs w:val="21"/>
          <w:lang w:val="lt-LT"/>
        </w:rPr>
        <w:t>prekės ar paslaugos nėra įtraukiamos į CPO IS katalogą.</w:t>
      </w:r>
    </w:p>
    <w:p w14:paraId="093DCB21" w14:textId="3FF0DC28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9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Tiekėjas, gavęs </w:t>
      </w:r>
      <w:r w:rsidR="00CF7E39">
        <w:rPr>
          <w:rFonts w:ascii="Arial" w:hAnsi="Arial" w:cs="Arial"/>
          <w:color w:val="000000"/>
          <w:sz w:val="21"/>
          <w:szCs w:val="21"/>
          <w:lang w:val="lt-LT"/>
        </w:rPr>
        <w:t xml:space="preserve">pranešimą apie leidimą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dalyvauti DPS ir prisijungęs prie CPO IS, turi pasitikrinti duomenis apie savo siūlom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us pirkimo objektus (</w:t>
      </w:r>
      <w:r w:rsidR="008D3F4E">
        <w:rPr>
          <w:rFonts w:ascii="Arial" w:hAnsi="Arial" w:cs="Arial"/>
          <w:sz w:val="21"/>
          <w:szCs w:val="21"/>
          <w:lang w:val="lt-LT"/>
        </w:rPr>
        <w:t>Paslaugas</w:t>
      </w:r>
      <w:r w:rsidR="00785D0B" w:rsidRPr="00FB6A64">
        <w:rPr>
          <w:rFonts w:ascii="Arial" w:hAnsi="Arial" w:cs="Arial"/>
          <w:sz w:val="21"/>
          <w:szCs w:val="21"/>
          <w:lang w:val="lt-LT"/>
        </w:rPr>
        <w:t>)</w:t>
      </w:r>
      <w:r w:rsidR="00233873" w:rsidRPr="00FB6A64">
        <w:rPr>
          <w:rFonts w:ascii="Arial" w:hAnsi="Arial" w:cs="Arial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. </w:t>
      </w:r>
    </w:p>
    <w:p w14:paraId="22A6764D" w14:textId="716A75FA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10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Tiekėjas per 5 (penkias) darbo dienas nuo gauto pranešimo apie į CPO IS įkeltus duomenis patikrina ir patvirtina duomenų atitiktį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techninei specifikacijai. CPO LT, per nurodytą laikotarpį negavusi iš tiekėjo informacijos apie duomenų atitiktį, laikys, kad tiekėjas patvirtina, jog įkelti duomenys yra atitinkantys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 xml:space="preserve">techninės specifikacijos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reikalavimus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</w:t>
      </w:r>
    </w:p>
    <w:p w14:paraId="67151C1F" w14:textId="478ACBF9" w:rsidR="009B1274" w:rsidRPr="00FB6A64" w:rsidRDefault="009B1274" w:rsidP="009B1274">
      <w:pPr>
        <w:pStyle w:val="Sraopastraipa"/>
        <w:spacing w:after="0" w:line="240" w:lineRule="auto"/>
        <w:ind w:left="0"/>
        <w:jc w:val="both"/>
        <w:outlineLvl w:val="1"/>
        <w:rPr>
          <w:rFonts w:ascii="Arial" w:hAnsi="Arial" w:cs="Arial"/>
          <w:bCs/>
          <w:i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Į CPO IS įkelti 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pirkimo objektų (</w:t>
      </w:r>
      <w:r w:rsidR="008D3F4E">
        <w:rPr>
          <w:rFonts w:ascii="Arial" w:hAnsi="Arial" w:cs="Arial"/>
          <w:color w:val="000000"/>
          <w:sz w:val="21"/>
          <w:szCs w:val="21"/>
          <w:lang w:val="lt-LT"/>
        </w:rPr>
        <w:t>Paslaugų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duomenys viešinami tik tiekėjui patvirtinus, kad jie atitinka pirkimo </w:t>
      </w:r>
      <w:r w:rsidR="00D15405" w:rsidRPr="00FF44AC">
        <w:rPr>
          <w:rFonts w:ascii="Arial" w:hAnsi="Arial" w:cs="Arial"/>
          <w:sz w:val="21"/>
          <w:szCs w:val="21"/>
          <w:lang w:val="lt-LT"/>
        </w:rPr>
        <w:t xml:space="preserve">objekto </w:t>
      </w:r>
      <w:r w:rsidRPr="00FF44AC">
        <w:rPr>
          <w:rFonts w:ascii="Arial" w:hAnsi="Arial" w:cs="Arial"/>
          <w:sz w:val="21"/>
          <w:szCs w:val="21"/>
          <w:lang w:val="lt-LT"/>
        </w:rPr>
        <w:t xml:space="preserve">techninę specifikaciją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arba per nustatytą terminą negavus informacijos iš </w:t>
      </w:r>
      <w:r w:rsidR="00E91E4B" w:rsidRPr="00FB6A64"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iekėjo dėl duomenų neatitikimo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5241EA7E" w14:textId="77777777" w:rsidR="00AA0F38" w:rsidRPr="00974106" w:rsidRDefault="00AA0F38" w:rsidP="00AA0F38">
      <w:pPr>
        <w:rPr>
          <w:rFonts w:ascii="Arial" w:hAnsi="Arial" w:cs="Arial"/>
          <w:strike/>
          <w:sz w:val="21"/>
          <w:szCs w:val="21"/>
          <w:lang w:val="lt-LT" w:eastAsia="lt-LT"/>
        </w:rPr>
      </w:pPr>
    </w:p>
    <w:p w14:paraId="2E942E23" w14:textId="796CA439" w:rsidR="009E0EEA" w:rsidRPr="00FB6A64" w:rsidRDefault="004A0DD5" w:rsidP="009E0EEA">
      <w:pPr>
        <w:pStyle w:val="Antrat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iekėjo ir CPO LT teisės ir įsipareigojimai</w:t>
      </w:r>
    </w:p>
    <w:p w14:paraId="05BAB395" w14:textId="11FC5E4E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66881DD0" w14:textId="7B11E4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FB6A64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7EB6B61" w14:textId="14417E8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0D8335C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registruoti naujus/pakeisti esamus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7DB36025" w14:textId="5FD4D68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657C5C82" w14:textId="6FB7823F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6EF5C4CF" w14:textId="582A2A83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2C152ACF" w14:textId="77777777" w:rsidR="002964CE" w:rsidRPr="00FB6A64" w:rsidRDefault="002964CE" w:rsidP="002964CE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pirkimo dokumentuose 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nustatytų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procedūrų ir 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jų vykdymui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keliamų reikalavimų;</w:t>
      </w:r>
    </w:p>
    <w:p w14:paraId="4EC25EC1" w14:textId="6210BD3F" w:rsidR="009E0EEA" w:rsidRPr="00E655BE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 xml:space="preserve">laimėjęs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 sudaryti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sutartį su užsakymą pateikusiu Užsakovu </w:t>
      </w:r>
      <w:r w:rsidR="009E0EEA" w:rsidRPr="00E655BE">
        <w:rPr>
          <w:rFonts w:ascii="Arial" w:hAnsi="Arial" w:cs="Arial"/>
          <w:caps w:val="0"/>
          <w:color w:val="000000"/>
          <w:sz w:val="21"/>
          <w:szCs w:val="21"/>
          <w:lang w:val="lt-LT"/>
        </w:rPr>
        <w:t>bei ją tinkamai vykdyti;</w:t>
      </w:r>
    </w:p>
    <w:p w14:paraId="11B9F313" w14:textId="2A43BB61" w:rsidR="009E0EEA" w:rsidRPr="00E655BE" w:rsidRDefault="009E0EEA" w:rsidP="461B7B0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E655BE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ies „DPS sukūrimo sąlygos ir priedai“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1 priede „Tiekėjų pašalinimo pagrindai“ nustatytų pašalinimo pagrindų, atitikti 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2 priede „Tiekėjų kvalifikacijos nacionalinio saugumo reikalavimai ir reikalaujami kokybės bei aplinkos vadybos sistemų standartai“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kvalifikacijos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, atitikti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pirkimo dokumentuose nustatytus 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nacionalinio saugumo reikalavimus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 subtiekėjus, kai jiems keliami reikalavimai)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</w:t>
      </w:r>
      <w:r w:rsidR="00595FE7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tiekėjas neturės galimybės pateikti pasiūlymo. Paraiškos tikslinimas atliekamas CVP IS priemonėmis iki konkretaus pirkimo pradžios.</w:t>
      </w:r>
    </w:p>
    <w:p w14:paraId="25AED507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12933AA2" w14:textId="7E446F9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353D08F5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18D6A03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244B438F" w14:textId="77777777" w:rsidR="00400692" w:rsidRPr="00FB6A64" w:rsidRDefault="00400692" w:rsidP="00400692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Tiekėjas turi 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vis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kit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pirkimo dokumentuose bei Lietuvos Respublikoje galiojančiuose teisės aktuose nustatyt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įsipareigojim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.</w:t>
      </w:r>
    </w:p>
    <w:p w14:paraId="115B5B2D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1AF277DA" w14:textId="77777777" w:rsidR="00E12856" w:rsidRPr="00FB6A64" w:rsidRDefault="00E12856" w:rsidP="00E12856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prašyti tiekėj</w:t>
      </w: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pateikti duomenis apie DPS siūlomą ir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tiekiamą pirkimo objektą, jo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4D0433B7" w14:textId="09CA4F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3540CDEB" w14:textId="375CB954" w:rsidR="009E0EEA" w:rsidRPr="00FB6A64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dokumentuose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0DC91354" w14:textId="7B3EA161" w:rsidR="00E43EAC" w:rsidRPr="00FB6A64" w:rsidRDefault="009E0EEA" w:rsidP="004D7C5D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2DD1CFD3" w14:textId="2B69A43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iekėjams. </w:t>
      </w:r>
    </w:p>
    <w:p w14:paraId="0091318C" w14:textId="78AE53D4" w:rsidR="00F76AB0" w:rsidRPr="00FB6A64" w:rsidRDefault="009E0EEA" w:rsidP="00F76AB0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CPO LT turi visas kitas pirkimo dokumentuose bei Lietuvos Respublikoje galiojančiuose teisės aktuose nustatytas teises.</w:t>
      </w:r>
    </w:p>
    <w:p w14:paraId="380CFAEB" w14:textId="6E307983" w:rsidR="00F76AB0" w:rsidRPr="00FB6A64" w:rsidRDefault="00F76AB0" w:rsidP="00F24B9A">
      <w:pPr>
        <w:pStyle w:val="paragraph"/>
        <w:ind w:left="1260" w:hanging="1350"/>
        <w:jc w:val="both"/>
        <w:textAlignment w:val="baseline"/>
        <w:rPr>
          <w:rFonts w:ascii="Arial" w:hAnsi="Arial" w:cs="Arial"/>
          <w:sz w:val="21"/>
          <w:szCs w:val="21"/>
          <w:lang w:val="lt-LT"/>
        </w:rPr>
      </w:pP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           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3.3.8.  </w:t>
      </w:r>
      <w:r w:rsidR="0000133C" w:rsidRPr="00FB6A64">
        <w:rPr>
          <w:rFonts w:ascii="Arial" w:hAnsi="Arial" w:cs="Arial"/>
          <w:sz w:val="21"/>
          <w:szCs w:val="21"/>
          <w:lang w:val="lt-LT"/>
        </w:rPr>
        <w:t>sustabdyti tiekėjo dalyvavimą DPS</w:t>
      </w:r>
      <w:r w:rsidR="0000133C"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, kol bus baigtas tiekėjo ir jo siūlomų </w:t>
      </w:r>
      <w:r w:rsidR="0000133C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paslaugų patikrinimas </w:t>
      </w:r>
      <w:r w:rsidR="0000133C" w:rsidRPr="00FB6A64">
        <w:rPr>
          <w:rFonts w:ascii="Arial" w:hAnsi="Arial" w:cs="Arial"/>
          <w:sz w:val="21"/>
          <w:szCs w:val="21"/>
          <w:lang w:val="lt-LT"/>
        </w:rPr>
        <w:t>ir priimtas sprendimas dėl VPĮ 45 straipsnio 2</w:t>
      </w:r>
      <w:r w:rsidR="0000133C" w:rsidRPr="00FB6A64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="0000133C" w:rsidRPr="00FB6A64">
        <w:rPr>
          <w:rStyle w:val="normaltextrun"/>
          <w:rFonts w:ascii="Arial" w:hAnsi="Arial" w:cs="Arial"/>
          <w:sz w:val="21"/>
          <w:szCs w:val="21"/>
          <w:lang w:val="lt-LT"/>
        </w:rPr>
        <w:t>dalyje ir (ar) VPĮ 37 str. 9 d. (kai taikoma) numatytų aplinkybių egzistavimo.</w:t>
      </w:r>
      <w:r w:rsidR="0000133C" w:rsidRPr="00FB6A64">
        <w:rPr>
          <w:rFonts w:ascii="Arial" w:hAnsi="Arial" w:cs="Arial"/>
          <w:sz w:val="21"/>
          <w:szCs w:val="21"/>
          <w:lang w:val="lt-LT"/>
        </w:rPr>
        <w:t> </w:t>
      </w:r>
    </w:p>
    <w:p w14:paraId="6410592B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 informuoti Naudotojus ne vėliau kaip likus 5 (penkioms) kalendorinėms dienoms iki pakeitimų ar sustabdymo dienos, išskyrus atvejus, kai pakeitimai ar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sustabdymas būtini, norint garantuoti informacijos apsaugą nuo nesankcionuoto trečiųjų asmenų naudojimo arba dėl avarinės situacijos.</w:t>
      </w:r>
    </w:p>
    <w:p w14:paraId="77671F84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FB6A64" w:rsidRDefault="009E0EEA" w:rsidP="009E0EEA">
      <w:pPr>
        <w:pStyle w:val="Antrat1"/>
        <w:keepLines w:val="0"/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</w:p>
    <w:p w14:paraId="54F6412E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Konfidencialumas</w:t>
      </w:r>
    </w:p>
    <w:p w14:paraId="062F587B" w14:textId="3BC33D99" w:rsidR="009E0EEA" w:rsidRPr="00FB6A64" w:rsidRDefault="006145D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olor w:val="000000"/>
          <w:sz w:val="21"/>
          <w:szCs w:val="21"/>
          <w:lang w:val="lt-LT"/>
        </w:rPr>
      </w:pP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ir CPO LT užtikrina, kad:</w:t>
      </w:r>
    </w:p>
    <w:p w14:paraId="61622732" w14:textId="5BCDF04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0D869211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FB6A64" w:rsidRDefault="002A6E3E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4CE48B86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76C9826C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2B9D54E8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9E0EEA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38885D1F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 xml:space="preserve">Atsakomybė </w:t>
      </w:r>
    </w:p>
    <w:p w14:paraId="6269403B" w14:textId="34254C41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7AD20CB1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FB6A64" w:rsidRDefault="00A0060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1C924C2F" w14:textId="21BE2D46" w:rsidR="009E0EEA" w:rsidRPr="00FB6A64" w:rsidRDefault="00A4569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N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apriboja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="002B0F46" w:rsidRPr="00FB6A64">
        <w:rPr>
          <w:rFonts w:ascii="Arial" w:hAnsi="Arial" w:cs="Arial"/>
          <w:caps w:val="0"/>
          <w:sz w:val="21"/>
          <w:szCs w:val="21"/>
          <w:lang w:val="lt-LT"/>
        </w:rPr>
        <w:t>tiekėjui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1 mėnesiui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>P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akartotinai nustač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apriboja Tiekėjui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3 mėnesiams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7D8E7D41" w14:textId="4141ADF2" w:rsidR="001E33DF" w:rsidRDefault="00F018F7" w:rsidP="001E33DF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t>N</w:t>
      </w:r>
      <w:r w:rsidR="001E33DF" w:rsidRPr="00FB6A64">
        <w:rPr>
          <w:rFonts w:ascii="Arial" w:hAnsi="Arial" w:cs="Arial"/>
          <w:sz w:val="21"/>
          <w:szCs w:val="21"/>
          <w:lang w:val="lt-LT"/>
        </w:rPr>
        <w:t>ustačius, kad tiekėjas nesilaiko 3.2.</w:t>
      </w:r>
      <w:r w:rsidR="00BA14B0" w:rsidRPr="00FB6A64">
        <w:rPr>
          <w:rFonts w:ascii="Arial" w:hAnsi="Arial" w:cs="Arial"/>
          <w:sz w:val="21"/>
          <w:szCs w:val="21"/>
          <w:lang w:val="lt-LT"/>
        </w:rPr>
        <w:t>4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 papunktyje nustatytos pareigos,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="001E33DF" w:rsidRPr="00FB6A64">
        <w:rPr>
          <w:rFonts w:ascii="Arial" w:hAnsi="Arial" w:cs="Arial"/>
          <w:sz w:val="21"/>
          <w:szCs w:val="21"/>
          <w:lang w:val="lt-LT"/>
        </w:rPr>
        <w:t>sustabdo tiekėjo dalyvavimą konkrečiuose užsakymuose iki nebeliks aplinkybių, dėl kurių DPS tiekėjo dalyvavimas buvo sustabdytas.</w:t>
      </w:r>
    </w:p>
    <w:p w14:paraId="235DF743" w14:textId="73BFC752" w:rsidR="00FB6A64" w:rsidRPr="00FB6A64" w:rsidRDefault="00FB6A64" w:rsidP="001E33DF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 xml:space="preserve">Tiekėjas sumoka CPO LT </w:t>
      </w:r>
      <w:r w:rsidR="00733D64">
        <w:rPr>
          <w:rFonts w:ascii="Arial" w:hAnsi="Arial" w:cs="Arial"/>
          <w:sz w:val="21"/>
          <w:szCs w:val="21"/>
          <w:lang w:val="lt-LT"/>
        </w:rPr>
        <w:t>300</w:t>
      </w:r>
      <w:r>
        <w:rPr>
          <w:rFonts w:ascii="Arial" w:hAnsi="Arial" w:cs="Arial"/>
          <w:color w:val="00B050"/>
          <w:sz w:val="21"/>
          <w:szCs w:val="21"/>
          <w:lang w:val="lt-LT"/>
        </w:rPr>
        <w:t xml:space="preserve"> </w:t>
      </w:r>
      <w:r>
        <w:rPr>
          <w:rFonts w:ascii="Arial" w:hAnsi="Arial" w:cs="Arial"/>
          <w:sz w:val="21"/>
          <w:szCs w:val="21"/>
          <w:lang w:val="lt-LT"/>
        </w:rPr>
        <w:t xml:space="preserve">Eur, </w:t>
      </w:r>
      <w:r w:rsidRPr="00FB6A64">
        <w:rPr>
          <w:rFonts w:ascii="Arial" w:hAnsi="Arial" w:cs="Arial"/>
          <w:sz w:val="21"/>
          <w:szCs w:val="21"/>
          <w:lang w:val="lt-LT"/>
        </w:rPr>
        <w:t>jei jis atsiima pasiūlymą pasibaigus pasiūlymų pateikimo terminui ar atsisako pasirašyti pirkimo sutartį konkretaus pirkimo dokumentuose ir pasiūlyme nurodytomis sąlygomis.</w:t>
      </w:r>
    </w:p>
    <w:p w14:paraId="269727CF" w14:textId="4958D344" w:rsidR="001F6BAA" w:rsidRPr="0073563B" w:rsidRDefault="009E0EEA" w:rsidP="0073563B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  <w:sectPr w:rsidR="001F6BAA" w:rsidRPr="0073563B" w:rsidSect="008D20B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991" w:bottom="1134" w:left="1701" w:header="567" w:footer="567" w:gutter="0"/>
          <w:cols w:space="1296"/>
          <w:titlePg/>
          <w:docGrid w:linePitch="360"/>
        </w:sect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Tretiesiems asmenims pareiškus reikalavimą dėl žalos atlyginimo, žalą atlygina kaltoji šal</w:t>
      </w:r>
      <w:r w:rsidR="00F412FA">
        <w:rPr>
          <w:rFonts w:ascii="Arial" w:hAnsi="Arial" w:cs="Arial"/>
          <w:caps w:val="0"/>
          <w:sz w:val="21"/>
          <w:szCs w:val="21"/>
          <w:lang w:val="lt-LT"/>
        </w:rPr>
        <w:t>is</w:t>
      </w:r>
    </w:p>
    <w:p w14:paraId="24DFAE1E" w14:textId="3840D6E0" w:rsidR="003335A0" w:rsidRPr="00FB6A64" w:rsidRDefault="003335A0" w:rsidP="0045355C">
      <w:pPr>
        <w:rPr>
          <w:rFonts w:ascii="Arial" w:hAnsi="Arial" w:cs="Arial"/>
          <w:sz w:val="21"/>
          <w:szCs w:val="21"/>
          <w:lang w:val="lt-LT"/>
        </w:rPr>
      </w:pPr>
    </w:p>
    <w:sectPr w:rsidR="003335A0" w:rsidRPr="00FB6A64" w:rsidSect="00066024"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4589" w14:textId="77777777" w:rsidR="001B4176" w:rsidRDefault="001B4176" w:rsidP="008800FB">
      <w:pPr>
        <w:spacing w:after="0" w:line="240" w:lineRule="auto"/>
      </w:pPr>
      <w:r>
        <w:separator/>
      </w:r>
    </w:p>
  </w:endnote>
  <w:endnote w:type="continuationSeparator" w:id="0">
    <w:p w14:paraId="3B7ABFA2" w14:textId="77777777" w:rsidR="001B4176" w:rsidRDefault="001B4176" w:rsidP="008800FB">
      <w:pPr>
        <w:spacing w:after="0" w:line="240" w:lineRule="auto"/>
      </w:pPr>
      <w:r>
        <w:continuationSeparator/>
      </w:r>
    </w:p>
  </w:endnote>
  <w:endnote w:type="continuationNotice" w:id="1">
    <w:p w14:paraId="4E95E5A9" w14:textId="77777777" w:rsidR="001B4176" w:rsidRDefault="001B4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3AD96928" w14:textId="77777777" w:rsidTr="5D7A6CAD">
      <w:tc>
        <w:tcPr>
          <w:tcW w:w="3210" w:type="dxa"/>
        </w:tcPr>
        <w:p w14:paraId="6499D096" w14:textId="216E2AFF" w:rsidR="5D7A6CAD" w:rsidRDefault="5D7A6CAD" w:rsidP="5D7A6CAD">
          <w:pPr>
            <w:pStyle w:val="Antrats"/>
            <w:ind w:left="-115"/>
          </w:pPr>
        </w:p>
      </w:tc>
      <w:tc>
        <w:tcPr>
          <w:tcW w:w="3210" w:type="dxa"/>
        </w:tcPr>
        <w:p w14:paraId="6AFF6558" w14:textId="78296CEA" w:rsidR="5D7A6CAD" w:rsidRDefault="5D7A6CAD" w:rsidP="5D7A6CAD">
          <w:pPr>
            <w:pStyle w:val="Antrats"/>
            <w:jc w:val="center"/>
          </w:pPr>
        </w:p>
      </w:tc>
      <w:tc>
        <w:tcPr>
          <w:tcW w:w="3210" w:type="dxa"/>
        </w:tcPr>
        <w:p w14:paraId="4AB6CC24" w14:textId="2B982284" w:rsidR="5D7A6CAD" w:rsidRDefault="5D7A6CAD" w:rsidP="5D7A6CAD">
          <w:pPr>
            <w:pStyle w:val="Antrats"/>
            <w:ind w:right="-115"/>
            <w:jc w:val="right"/>
          </w:pPr>
        </w:p>
      </w:tc>
    </w:tr>
  </w:tbl>
  <w:p w14:paraId="13D96B5F" w14:textId="0C973411" w:rsidR="5D7A6CAD" w:rsidRDefault="5D7A6CAD" w:rsidP="5D7A6CA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Antrats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Antrats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Antrats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C59A" w14:textId="77777777" w:rsidR="001B4176" w:rsidRDefault="001B4176" w:rsidP="008800FB">
      <w:pPr>
        <w:spacing w:after="0" w:line="240" w:lineRule="auto"/>
      </w:pPr>
      <w:r>
        <w:separator/>
      </w:r>
    </w:p>
  </w:footnote>
  <w:footnote w:type="continuationSeparator" w:id="0">
    <w:p w14:paraId="1EB71801" w14:textId="77777777" w:rsidR="001B4176" w:rsidRDefault="001B4176" w:rsidP="008800FB">
      <w:pPr>
        <w:spacing w:after="0" w:line="240" w:lineRule="auto"/>
      </w:pPr>
      <w:r>
        <w:continuationSeparator/>
      </w:r>
    </w:p>
  </w:footnote>
  <w:footnote w:type="continuationNotice" w:id="1">
    <w:p w14:paraId="0AE66701" w14:textId="77777777" w:rsidR="001B4176" w:rsidRDefault="001B4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417"/>
    </w:tblGrid>
    <w:tr w:rsidR="00627B48" w14:paraId="7F4CEAF1" w14:textId="77777777" w:rsidTr="00AB70A8">
      <w:tc>
        <w:tcPr>
          <w:tcW w:w="6204" w:type="dxa"/>
        </w:tcPr>
        <w:p w14:paraId="66D1E531" w14:textId="77777777" w:rsidR="00627B48" w:rsidRDefault="00627B48" w:rsidP="00627B48">
          <w:pPr>
            <w:rPr>
              <w:lang w:eastAsia="ja-JP"/>
            </w:rPr>
          </w:pPr>
        </w:p>
      </w:tc>
      <w:tc>
        <w:tcPr>
          <w:tcW w:w="3650" w:type="dxa"/>
        </w:tcPr>
        <w:p w14:paraId="77D346B8" w14:textId="0B673F89" w:rsidR="00627B48" w:rsidRDefault="00627B48" w:rsidP="00627B48">
          <w:pPr>
            <w:spacing w:after="0"/>
            <w:rPr>
              <w:lang w:eastAsia="ja-JP"/>
            </w:rPr>
          </w:pPr>
        </w:p>
      </w:tc>
    </w:tr>
  </w:tbl>
  <w:p w14:paraId="0503135C" w14:textId="77777777" w:rsidR="00627B48" w:rsidRDefault="00627B48" w:rsidP="008800FB">
    <w:pPr>
      <w:pStyle w:val="Antrats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35A7" w14:textId="08AC730A" w:rsidR="009F4B39" w:rsidRPr="00F83D18" w:rsidRDefault="009F4B39" w:rsidP="000A317C">
    <w:pPr>
      <w:spacing w:after="0" w:line="240" w:lineRule="auto"/>
      <w:rPr>
        <w:sz w:val="20"/>
        <w:szCs w:val="20"/>
        <w:lang w:val="lt-LT" w:eastAsia="ja-JP"/>
      </w:rPr>
    </w:pPr>
  </w:p>
  <w:p w14:paraId="52DCFDDC" w14:textId="77777777" w:rsidR="000A317C" w:rsidRPr="00F83D18" w:rsidRDefault="000A317C" w:rsidP="000A317C">
    <w:pPr>
      <w:spacing w:after="0" w:line="240" w:lineRule="auto"/>
      <w:rPr>
        <w:sz w:val="20"/>
        <w:szCs w:val="20"/>
        <w:lang w:val="lt-LT" w:eastAsia="ja-JP"/>
      </w:rPr>
    </w:pPr>
  </w:p>
  <w:tbl>
    <w:tblPr>
      <w:tblStyle w:val="Lentelstinklelis"/>
      <w:tblW w:w="106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3384"/>
    </w:tblGrid>
    <w:tr w:rsidR="009F4B39" w:rsidRPr="00D9128C" w14:paraId="763645E0" w14:textId="5E029A82" w:rsidTr="000A317C">
      <w:tc>
        <w:tcPr>
          <w:tcW w:w="7230" w:type="dxa"/>
        </w:tcPr>
        <w:p w14:paraId="588FCE36" w14:textId="551054C9" w:rsidR="009F4B39" w:rsidRPr="00F83D18" w:rsidRDefault="009F4B39" w:rsidP="00AF45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lang w:val="lt-LT" w:eastAsia="ja-JP"/>
            </w:rPr>
          </w:pPr>
        </w:p>
      </w:tc>
      <w:tc>
        <w:tcPr>
          <w:tcW w:w="3384" w:type="dxa"/>
        </w:tcPr>
        <w:p w14:paraId="1FE6D997" w14:textId="6E917A02" w:rsidR="009F4B39" w:rsidRPr="00F83D18" w:rsidRDefault="009F4B39" w:rsidP="000A317C">
          <w:pPr>
            <w:spacing w:after="0" w:line="240" w:lineRule="auto"/>
            <w:rPr>
              <w:lang w:val="lt-LT" w:eastAsia="ja-JP"/>
            </w:rPr>
          </w:pPr>
        </w:p>
      </w:tc>
    </w:tr>
  </w:tbl>
  <w:p w14:paraId="4AA41A26" w14:textId="77777777" w:rsidR="00EA6B9C" w:rsidRPr="00F83D18" w:rsidRDefault="00EA6B9C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0133C"/>
    <w:rsid w:val="000112C4"/>
    <w:rsid w:val="000144D0"/>
    <w:rsid w:val="0001548C"/>
    <w:rsid w:val="00023D09"/>
    <w:rsid w:val="00026116"/>
    <w:rsid w:val="000322D8"/>
    <w:rsid w:val="000409BC"/>
    <w:rsid w:val="00046011"/>
    <w:rsid w:val="00046BDA"/>
    <w:rsid w:val="00054C71"/>
    <w:rsid w:val="00066024"/>
    <w:rsid w:val="0007026B"/>
    <w:rsid w:val="00070CD1"/>
    <w:rsid w:val="0007454A"/>
    <w:rsid w:val="00075B67"/>
    <w:rsid w:val="00080EE8"/>
    <w:rsid w:val="00080F6A"/>
    <w:rsid w:val="00087302"/>
    <w:rsid w:val="000A00CF"/>
    <w:rsid w:val="000A317C"/>
    <w:rsid w:val="000A3E4E"/>
    <w:rsid w:val="000A4D65"/>
    <w:rsid w:val="000B5067"/>
    <w:rsid w:val="000B558D"/>
    <w:rsid w:val="000D1590"/>
    <w:rsid w:val="000D1945"/>
    <w:rsid w:val="000D4A89"/>
    <w:rsid w:val="000E1BF0"/>
    <w:rsid w:val="000E2BD5"/>
    <w:rsid w:val="000E4DD7"/>
    <w:rsid w:val="00106F5D"/>
    <w:rsid w:val="0011698F"/>
    <w:rsid w:val="001367B3"/>
    <w:rsid w:val="001634AD"/>
    <w:rsid w:val="0019162A"/>
    <w:rsid w:val="00191B83"/>
    <w:rsid w:val="00195099"/>
    <w:rsid w:val="001B4176"/>
    <w:rsid w:val="001C4BA6"/>
    <w:rsid w:val="001C60A8"/>
    <w:rsid w:val="001E0A1D"/>
    <w:rsid w:val="001E33DF"/>
    <w:rsid w:val="001E4DDC"/>
    <w:rsid w:val="001F6BAA"/>
    <w:rsid w:val="00207E15"/>
    <w:rsid w:val="0021018D"/>
    <w:rsid w:val="00213066"/>
    <w:rsid w:val="00214BA7"/>
    <w:rsid w:val="002161AA"/>
    <w:rsid w:val="00216DCA"/>
    <w:rsid w:val="00222A11"/>
    <w:rsid w:val="00233873"/>
    <w:rsid w:val="0023556F"/>
    <w:rsid w:val="00242646"/>
    <w:rsid w:val="0024301B"/>
    <w:rsid w:val="00244754"/>
    <w:rsid w:val="00246393"/>
    <w:rsid w:val="002531F4"/>
    <w:rsid w:val="002559DF"/>
    <w:rsid w:val="00255B35"/>
    <w:rsid w:val="00262EFF"/>
    <w:rsid w:val="00267BE0"/>
    <w:rsid w:val="002747EA"/>
    <w:rsid w:val="002751BF"/>
    <w:rsid w:val="00276B68"/>
    <w:rsid w:val="00283952"/>
    <w:rsid w:val="002857EF"/>
    <w:rsid w:val="00286A72"/>
    <w:rsid w:val="002964CE"/>
    <w:rsid w:val="002A2CA7"/>
    <w:rsid w:val="002A6E3E"/>
    <w:rsid w:val="002A750D"/>
    <w:rsid w:val="002B0F46"/>
    <w:rsid w:val="002B66C5"/>
    <w:rsid w:val="002C1B9D"/>
    <w:rsid w:val="002C2F6D"/>
    <w:rsid w:val="002C47B3"/>
    <w:rsid w:val="002C5F1F"/>
    <w:rsid w:val="002C7319"/>
    <w:rsid w:val="002C75B2"/>
    <w:rsid w:val="002D4CA8"/>
    <w:rsid w:val="002D5B89"/>
    <w:rsid w:val="002E240F"/>
    <w:rsid w:val="002F6ECA"/>
    <w:rsid w:val="00301DC4"/>
    <w:rsid w:val="003038D3"/>
    <w:rsid w:val="00303CBC"/>
    <w:rsid w:val="00311732"/>
    <w:rsid w:val="00311F50"/>
    <w:rsid w:val="00312AF7"/>
    <w:rsid w:val="003221CE"/>
    <w:rsid w:val="00327D73"/>
    <w:rsid w:val="003335A0"/>
    <w:rsid w:val="00342BB7"/>
    <w:rsid w:val="00343D04"/>
    <w:rsid w:val="00343E8F"/>
    <w:rsid w:val="00360210"/>
    <w:rsid w:val="0036310E"/>
    <w:rsid w:val="00363B18"/>
    <w:rsid w:val="00365A21"/>
    <w:rsid w:val="00374FB3"/>
    <w:rsid w:val="00380E5B"/>
    <w:rsid w:val="003812AA"/>
    <w:rsid w:val="00387C4A"/>
    <w:rsid w:val="0039209D"/>
    <w:rsid w:val="003A298D"/>
    <w:rsid w:val="003B0990"/>
    <w:rsid w:val="003B1CC6"/>
    <w:rsid w:val="003B3356"/>
    <w:rsid w:val="003B54A0"/>
    <w:rsid w:val="003B670F"/>
    <w:rsid w:val="003C4BFD"/>
    <w:rsid w:val="003C624B"/>
    <w:rsid w:val="003C7EA4"/>
    <w:rsid w:val="003D7AF7"/>
    <w:rsid w:val="003E0E33"/>
    <w:rsid w:val="003F57CF"/>
    <w:rsid w:val="0040023A"/>
    <w:rsid w:val="00400692"/>
    <w:rsid w:val="00420215"/>
    <w:rsid w:val="00424A0D"/>
    <w:rsid w:val="00430040"/>
    <w:rsid w:val="00431481"/>
    <w:rsid w:val="0043258C"/>
    <w:rsid w:val="0044110F"/>
    <w:rsid w:val="0045355C"/>
    <w:rsid w:val="00457750"/>
    <w:rsid w:val="00482546"/>
    <w:rsid w:val="004904B0"/>
    <w:rsid w:val="00490657"/>
    <w:rsid w:val="00495FAC"/>
    <w:rsid w:val="00496A7B"/>
    <w:rsid w:val="004A0DD5"/>
    <w:rsid w:val="004D0F07"/>
    <w:rsid w:val="004D42BD"/>
    <w:rsid w:val="004D7C5D"/>
    <w:rsid w:val="004E28D3"/>
    <w:rsid w:val="004F5232"/>
    <w:rsid w:val="004F5CCE"/>
    <w:rsid w:val="004F663E"/>
    <w:rsid w:val="00510877"/>
    <w:rsid w:val="00511039"/>
    <w:rsid w:val="005208A7"/>
    <w:rsid w:val="00521F75"/>
    <w:rsid w:val="00530052"/>
    <w:rsid w:val="005350CC"/>
    <w:rsid w:val="005523D6"/>
    <w:rsid w:val="00567812"/>
    <w:rsid w:val="00574DF4"/>
    <w:rsid w:val="005949C0"/>
    <w:rsid w:val="00595FE7"/>
    <w:rsid w:val="00596C5A"/>
    <w:rsid w:val="005A3C2B"/>
    <w:rsid w:val="005A6522"/>
    <w:rsid w:val="005B3270"/>
    <w:rsid w:val="005B3EF2"/>
    <w:rsid w:val="005C3C0C"/>
    <w:rsid w:val="005C514A"/>
    <w:rsid w:val="005D54A5"/>
    <w:rsid w:val="005D6DC6"/>
    <w:rsid w:val="005E4CC8"/>
    <w:rsid w:val="005F681D"/>
    <w:rsid w:val="005F728B"/>
    <w:rsid w:val="00600FDD"/>
    <w:rsid w:val="00603152"/>
    <w:rsid w:val="00613BD0"/>
    <w:rsid w:val="006145DB"/>
    <w:rsid w:val="00615CB3"/>
    <w:rsid w:val="0061716B"/>
    <w:rsid w:val="0062067D"/>
    <w:rsid w:val="00627B48"/>
    <w:rsid w:val="00632A7C"/>
    <w:rsid w:val="00635E3A"/>
    <w:rsid w:val="00636FA8"/>
    <w:rsid w:val="0064030B"/>
    <w:rsid w:val="006447CF"/>
    <w:rsid w:val="0064589C"/>
    <w:rsid w:val="0066230C"/>
    <w:rsid w:val="00680316"/>
    <w:rsid w:val="0068607C"/>
    <w:rsid w:val="00695087"/>
    <w:rsid w:val="00695DD8"/>
    <w:rsid w:val="006A71F5"/>
    <w:rsid w:val="006B5E10"/>
    <w:rsid w:val="006B63C5"/>
    <w:rsid w:val="006D7716"/>
    <w:rsid w:val="006E173D"/>
    <w:rsid w:val="006E5DB0"/>
    <w:rsid w:val="006E737A"/>
    <w:rsid w:val="006E7D4C"/>
    <w:rsid w:val="006F53AA"/>
    <w:rsid w:val="00710440"/>
    <w:rsid w:val="00711DD4"/>
    <w:rsid w:val="00725DA0"/>
    <w:rsid w:val="00733D64"/>
    <w:rsid w:val="0073563B"/>
    <w:rsid w:val="00746216"/>
    <w:rsid w:val="007603AB"/>
    <w:rsid w:val="00763DC0"/>
    <w:rsid w:val="00772E52"/>
    <w:rsid w:val="007809CF"/>
    <w:rsid w:val="00785D0B"/>
    <w:rsid w:val="00795874"/>
    <w:rsid w:val="007A3294"/>
    <w:rsid w:val="007A3C04"/>
    <w:rsid w:val="007B0DA9"/>
    <w:rsid w:val="007B4593"/>
    <w:rsid w:val="007C4485"/>
    <w:rsid w:val="007D1E79"/>
    <w:rsid w:val="007E1A90"/>
    <w:rsid w:val="007E1FFC"/>
    <w:rsid w:val="007F5B09"/>
    <w:rsid w:val="0081308B"/>
    <w:rsid w:val="0081748C"/>
    <w:rsid w:val="00817A6F"/>
    <w:rsid w:val="00820852"/>
    <w:rsid w:val="00827186"/>
    <w:rsid w:val="0083017E"/>
    <w:rsid w:val="008309C6"/>
    <w:rsid w:val="0083392C"/>
    <w:rsid w:val="008363FA"/>
    <w:rsid w:val="00836C1A"/>
    <w:rsid w:val="00837D12"/>
    <w:rsid w:val="00837F31"/>
    <w:rsid w:val="00841FE9"/>
    <w:rsid w:val="00843C19"/>
    <w:rsid w:val="008601A3"/>
    <w:rsid w:val="00865571"/>
    <w:rsid w:val="00871D9E"/>
    <w:rsid w:val="008773C3"/>
    <w:rsid w:val="008800FB"/>
    <w:rsid w:val="00882F43"/>
    <w:rsid w:val="0088322A"/>
    <w:rsid w:val="00884202"/>
    <w:rsid w:val="00890162"/>
    <w:rsid w:val="0089190C"/>
    <w:rsid w:val="00896C0C"/>
    <w:rsid w:val="008A0F03"/>
    <w:rsid w:val="008A3F62"/>
    <w:rsid w:val="008A705D"/>
    <w:rsid w:val="008B0E67"/>
    <w:rsid w:val="008C1B49"/>
    <w:rsid w:val="008D20B3"/>
    <w:rsid w:val="008D3F4E"/>
    <w:rsid w:val="008D41E8"/>
    <w:rsid w:val="008D63E7"/>
    <w:rsid w:val="008E0FAA"/>
    <w:rsid w:val="008F5F91"/>
    <w:rsid w:val="00913CE9"/>
    <w:rsid w:val="0091784D"/>
    <w:rsid w:val="00920722"/>
    <w:rsid w:val="009207F4"/>
    <w:rsid w:val="00932A63"/>
    <w:rsid w:val="00932CBA"/>
    <w:rsid w:val="00933754"/>
    <w:rsid w:val="0094085C"/>
    <w:rsid w:val="00943490"/>
    <w:rsid w:val="00947FF9"/>
    <w:rsid w:val="00950C05"/>
    <w:rsid w:val="00952914"/>
    <w:rsid w:val="009539FA"/>
    <w:rsid w:val="00961B92"/>
    <w:rsid w:val="00970DEE"/>
    <w:rsid w:val="00974106"/>
    <w:rsid w:val="00991571"/>
    <w:rsid w:val="00992AA7"/>
    <w:rsid w:val="0099390C"/>
    <w:rsid w:val="00993DAA"/>
    <w:rsid w:val="00995E60"/>
    <w:rsid w:val="009A2DD9"/>
    <w:rsid w:val="009A3EFD"/>
    <w:rsid w:val="009B052A"/>
    <w:rsid w:val="009B1274"/>
    <w:rsid w:val="009B5A66"/>
    <w:rsid w:val="009C118B"/>
    <w:rsid w:val="009C2561"/>
    <w:rsid w:val="009C2C5B"/>
    <w:rsid w:val="009E0EEA"/>
    <w:rsid w:val="009E2A8A"/>
    <w:rsid w:val="009E3532"/>
    <w:rsid w:val="009F4951"/>
    <w:rsid w:val="009F4B39"/>
    <w:rsid w:val="00A0060B"/>
    <w:rsid w:val="00A30E0D"/>
    <w:rsid w:val="00A36E80"/>
    <w:rsid w:val="00A3773F"/>
    <w:rsid w:val="00A4128C"/>
    <w:rsid w:val="00A447B1"/>
    <w:rsid w:val="00A4569B"/>
    <w:rsid w:val="00A6201E"/>
    <w:rsid w:val="00A94033"/>
    <w:rsid w:val="00A9525F"/>
    <w:rsid w:val="00A953EE"/>
    <w:rsid w:val="00A95A56"/>
    <w:rsid w:val="00A97C8C"/>
    <w:rsid w:val="00AA0F38"/>
    <w:rsid w:val="00AA5846"/>
    <w:rsid w:val="00AB70A8"/>
    <w:rsid w:val="00AD75F4"/>
    <w:rsid w:val="00AD7633"/>
    <w:rsid w:val="00AE4124"/>
    <w:rsid w:val="00AF0F26"/>
    <w:rsid w:val="00AF45DD"/>
    <w:rsid w:val="00B10D4F"/>
    <w:rsid w:val="00B131DD"/>
    <w:rsid w:val="00B2212F"/>
    <w:rsid w:val="00B22721"/>
    <w:rsid w:val="00B22D93"/>
    <w:rsid w:val="00B23EBC"/>
    <w:rsid w:val="00B37044"/>
    <w:rsid w:val="00B42445"/>
    <w:rsid w:val="00B56EA4"/>
    <w:rsid w:val="00B66EBA"/>
    <w:rsid w:val="00B704BA"/>
    <w:rsid w:val="00B70EA6"/>
    <w:rsid w:val="00B75F11"/>
    <w:rsid w:val="00B76EDC"/>
    <w:rsid w:val="00B82C26"/>
    <w:rsid w:val="00B8367B"/>
    <w:rsid w:val="00B87121"/>
    <w:rsid w:val="00B96283"/>
    <w:rsid w:val="00B96331"/>
    <w:rsid w:val="00BA14B0"/>
    <w:rsid w:val="00BB5514"/>
    <w:rsid w:val="00BD6CB5"/>
    <w:rsid w:val="00BD7AE1"/>
    <w:rsid w:val="00BE3471"/>
    <w:rsid w:val="00BE76F1"/>
    <w:rsid w:val="00BF7E34"/>
    <w:rsid w:val="00C11F36"/>
    <w:rsid w:val="00C200FF"/>
    <w:rsid w:val="00C37A60"/>
    <w:rsid w:val="00C4251A"/>
    <w:rsid w:val="00C43194"/>
    <w:rsid w:val="00C46AC9"/>
    <w:rsid w:val="00C47F11"/>
    <w:rsid w:val="00C5021A"/>
    <w:rsid w:val="00C52C51"/>
    <w:rsid w:val="00C57F93"/>
    <w:rsid w:val="00C7511E"/>
    <w:rsid w:val="00C76FD9"/>
    <w:rsid w:val="00C84DF2"/>
    <w:rsid w:val="00C869E2"/>
    <w:rsid w:val="00C92527"/>
    <w:rsid w:val="00C92D57"/>
    <w:rsid w:val="00C94E6C"/>
    <w:rsid w:val="00CA3566"/>
    <w:rsid w:val="00CA501C"/>
    <w:rsid w:val="00CB72CE"/>
    <w:rsid w:val="00CC5362"/>
    <w:rsid w:val="00CD1160"/>
    <w:rsid w:val="00CD73AA"/>
    <w:rsid w:val="00CE13DB"/>
    <w:rsid w:val="00CE6437"/>
    <w:rsid w:val="00CE7F84"/>
    <w:rsid w:val="00CF7E39"/>
    <w:rsid w:val="00D062D5"/>
    <w:rsid w:val="00D070AD"/>
    <w:rsid w:val="00D07853"/>
    <w:rsid w:val="00D07DC3"/>
    <w:rsid w:val="00D106B5"/>
    <w:rsid w:val="00D15405"/>
    <w:rsid w:val="00D162D4"/>
    <w:rsid w:val="00D20BC5"/>
    <w:rsid w:val="00D21741"/>
    <w:rsid w:val="00D518B5"/>
    <w:rsid w:val="00D51E0A"/>
    <w:rsid w:val="00D51EA0"/>
    <w:rsid w:val="00D63420"/>
    <w:rsid w:val="00D7160C"/>
    <w:rsid w:val="00D81140"/>
    <w:rsid w:val="00D815B8"/>
    <w:rsid w:val="00D8750B"/>
    <w:rsid w:val="00D9128C"/>
    <w:rsid w:val="00D9171D"/>
    <w:rsid w:val="00DA1D1A"/>
    <w:rsid w:val="00DA1F4F"/>
    <w:rsid w:val="00DA3FA7"/>
    <w:rsid w:val="00DA75AC"/>
    <w:rsid w:val="00DB07E3"/>
    <w:rsid w:val="00DB150F"/>
    <w:rsid w:val="00DC6532"/>
    <w:rsid w:val="00DC6A39"/>
    <w:rsid w:val="00DC7F40"/>
    <w:rsid w:val="00DD38FA"/>
    <w:rsid w:val="00DD7EB5"/>
    <w:rsid w:val="00DE0C08"/>
    <w:rsid w:val="00DE1715"/>
    <w:rsid w:val="00E12856"/>
    <w:rsid w:val="00E20E58"/>
    <w:rsid w:val="00E366C1"/>
    <w:rsid w:val="00E43EAC"/>
    <w:rsid w:val="00E5152E"/>
    <w:rsid w:val="00E5790E"/>
    <w:rsid w:val="00E655BE"/>
    <w:rsid w:val="00E67388"/>
    <w:rsid w:val="00E71181"/>
    <w:rsid w:val="00E7144A"/>
    <w:rsid w:val="00E83E6E"/>
    <w:rsid w:val="00E84BFF"/>
    <w:rsid w:val="00E868C6"/>
    <w:rsid w:val="00E90156"/>
    <w:rsid w:val="00E91E4B"/>
    <w:rsid w:val="00E93631"/>
    <w:rsid w:val="00E93A03"/>
    <w:rsid w:val="00E94C66"/>
    <w:rsid w:val="00EA6B9C"/>
    <w:rsid w:val="00EB0593"/>
    <w:rsid w:val="00EB32AD"/>
    <w:rsid w:val="00EB4FAB"/>
    <w:rsid w:val="00EC37C6"/>
    <w:rsid w:val="00EC6458"/>
    <w:rsid w:val="00ED03F7"/>
    <w:rsid w:val="00ED0E64"/>
    <w:rsid w:val="00ED6FC5"/>
    <w:rsid w:val="00EF1289"/>
    <w:rsid w:val="00EF4E26"/>
    <w:rsid w:val="00EF5062"/>
    <w:rsid w:val="00EF6080"/>
    <w:rsid w:val="00EF6255"/>
    <w:rsid w:val="00F018F7"/>
    <w:rsid w:val="00F0446C"/>
    <w:rsid w:val="00F05405"/>
    <w:rsid w:val="00F12E21"/>
    <w:rsid w:val="00F17EE5"/>
    <w:rsid w:val="00F24B9A"/>
    <w:rsid w:val="00F25C4F"/>
    <w:rsid w:val="00F363AD"/>
    <w:rsid w:val="00F36D02"/>
    <w:rsid w:val="00F412FA"/>
    <w:rsid w:val="00F464B2"/>
    <w:rsid w:val="00F47A10"/>
    <w:rsid w:val="00F51876"/>
    <w:rsid w:val="00F529E6"/>
    <w:rsid w:val="00F533F0"/>
    <w:rsid w:val="00F6145C"/>
    <w:rsid w:val="00F63BEF"/>
    <w:rsid w:val="00F740BC"/>
    <w:rsid w:val="00F76764"/>
    <w:rsid w:val="00F76AB0"/>
    <w:rsid w:val="00F83D18"/>
    <w:rsid w:val="00F9354B"/>
    <w:rsid w:val="00FB020B"/>
    <w:rsid w:val="00FB6A64"/>
    <w:rsid w:val="00FC35DB"/>
    <w:rsid w:val="00FC4723"/>
    <w:rsid w:val="00FD0D7D"/>
    <w:rsid w:val="00FD4A29"/>
    <w:rsid w:val="00FF1814"/>
    <w:rsid w:val="00FF44AC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0FB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705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Numatytasispastraiposriftas"/>
    <w:rsid w:val="002C75B2"/>
  </w:style>
  <w:style w:type="table" w:customStyle="1" w:styleId="TableGrid12">
    <w:name w:val="Table Grid12"/>
    <w:basedOn w:val="prastojilentel"/>
    <w:next w:val="Lentelstinklelis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3E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Numatytasispastraiposriftas"/>
    <w:rsid w:val="00F76AB0"/>
  </w:style>
  <w:style w:type="character" w:customStyle="1" w:styleId="eop">
    <w:name w:val="eop"/>
    <w:basedOn w:val="Numatytasispastraiposriftas"/>
    <w:rsid w:val="00F76AB0"/>
  </w:style>
  <w:style w:type="character" w:customStyle="1" w:styleId="normaltextrun">
    <w:name w:val="normaltextrun"/>
    <w:basedOn w:val="Numatytasispastraiposriftas"/>
    <w:rsid w:val="00F76AB0"/>
  </w:style>
  <w:style w:type="table" w:customStyle="1" w:styleId="TableGrid32">
    <w:name w:val="Table Grid32"/>
    <w:basedOn w:val="prastojilentel"/>
    <w:next w:val="Lentelstinklelis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6803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Augustė Krutkevičiūtė</cp:lastModifiedBy>
  <cp:revision>55</cp:revision>
  <dcterms:created xsi:type="dcterms:W3CDTF">2025-07-27T06:17:00Z</dcterms:created>
  <dcterms:modified xsi:type="dcterms:W3CDTF">2025-10-15T11:45:00Z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