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313CCEAF"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1E3E5F">
              <w:rPr>
                <w:b/>
                <w:bCs/>
                <w:szCs w:val="24"/>
                <w:lang w:eastAsia="lt-LT"/>
              </w:rPr>
              <w:t>2</w:t>
            </w:r>
            <w:r w:rsidRPr="00D66F1D">
              <w:rPr>
                <w:b/>
                <w:bCs/>
                <w:szCs w:val="24"/>
                <w:lang w:eastAsia="ar-SA"/>
              </w:rPr>
              <w:t xml:space="preserve"> (</w:t>
            </w:r>
            <w:r w:rsidR="001E3E5F">
              <w:rPr>
                <w:b/>
                <w:bCs/>
                <w:szCs w:val="24"/>
                <w:lang w:eastAsia="ar-SA"/>
              </w:rPr>
              <w:t>du</w:t>
            </w:r>
            <w:r w:rsidRPr="00D66F1D">
              <w:rPr>
                <w:b/>
                <w:bCs/>
                <w:szCs w:val="24"/>
                <w:lang w:eastAsia="ar-SA"/>
              </w:rPr>
              <w:t>) mėnesi</w:t>
            </w:r>
            <w:r w:rsidR="001E3E5F">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2E948FDB"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w:t>
            </w:r>
            <w:r w:rsidRPr="001E3E5F">
              <w:rPr>
                <w:szCs w:val="24"/>
                <w:lang w:eastAsia="lt-LT"/>
              </w:rPr>
              <w:t xml:space="preserve">Darbus: </w:t>
            </w:r>
            <w:proofErr w:type="spellStart"/>
            <w:r w:rsidR="007C2A2A" w:rsidRPr="001E3E5F">
              <w:rPr>
                <w:rFonts w:eastAsia="Calibri"/>
                <w:b/>
                <w:bCs/>
                <w:color w:val="000000" w:themeColor="text1"/>
                <w:szCs w:val="24"/>
                <w14:ligatures w14:val="standardContextual"/>
              </w:rPr>
              <w:t>Pėščiųjų</w:t>
            </w:r>
            <w:proofErr w:type="spellEnd"/>
            <w:r w:rsidR="007C2A2A" w:rsidRPr="001E3E5F">
              <w:rPr>
                <w:rFonts w:eastAsia="Calibri"/>
                <w:b/>
                <w:bCs/>
                <w:color w:val="000000" w:themeColor="text1"/>
                <w:szCs w:val="24"/>
                <w14:ligatures w14:val="standardContextual"/>
              </w:rPr>
              <w:t xml:space="preserve"> tako Noriūnų k. Kupiškio</w:t>
            </w:r>
            <w:r w:rsidR="001E3E5F">
              <w:rPr>
                <w:rFonts w:eastAsia="Calibri"/>
                <w:b/>
                <w:bCs/>
                <w:color w:val="000000" w:themeColor="text1"/>
                <w:szCs w:val="24"/>
                <w14:ligatures w14:val="standardContextual"/>
              </w:rPr>
              <w:t> </w:t>
            </w:r>
            <w:r w:rsidR="007C2A2A" w:rsidRPr="001E3E5F">
              <w:rPr>
                <w:rFonts w:eastAsia="Calibri"/>
                <w:b/>
                <w:bCs/>
                <w:color w:val="000000" w:themeColor="text1"/>
                <w:szCs w:val="24"/>
                <w14:ligatures w14:val="standardContextual"/>
              </w:rPr>
              <w:t>r. dangų paprastojo remonto darbai</w:t>
            </w:r>
            <w:r w:rsidRPr="001E3E5F">
              <w:rPr>
                <w:b/>
                <w:bCs/>
                <w:szCs w:val="24"/>
                <w:lang w:eastAsia="lt-LT"/>
              </w:rPr>
              <w:t>,</w:t>
            </w:r>
            <w:r w:rsidRPr="001E3E5F">
              <w:rPr>
                <w:szCs w:val="24"/>
                <w:lang w:eastAsia="lt-LT"/>
              </w:rPr>
              <w:t xml:space="preserve"> kaip numatyta Sutartyje bei ištaisyti po Darbų atlikimo termino nustatytus defektus, o Užsakovas įsipareigoja sudaryti</w:t>
            </w:r>
            <w:r w:rsidRPr="006B5C78">
              <w:rPr>
                <w:szCs w:val="22"/>
                <w:lang w:eastAsia="lt-LT"/>
              </w:rPr>
              <w:t xml:space="preserve">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255FDA36" w14:textId="77777777" w:rsidR="00E3123F"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3E4C140C" w14:textId="77777777" w:rsidR="00A157ED" w:rsidRDefault="00A157ED" w:rsidP="00380255">
            <w:pPr>
              <w:widowControl w:val="0"/>
              <w:jc w:val="both"/>
              <w:rPr>
                <w:szCs w:val="22"/>
                <w:lang w:eastAsia="lt-LT"/>
              </w:rPr>
            </w:pPr>
          </w:p>
          <w:p w14:paraId="3F57AABF" w14:textId="77777777" w:rsidR="00A157ED" w:rsidRDefault="00A157ED" w:rsidP="00380255">
            <w:pPr>
              <w:widowControl w:val="0"/>
              <w:jc w:val="both"/>
              <w:rPr>
                <w:szCs w:val="22"/>
                <w:lang w:eastAsia="lt-LT"/>
              </w:rPr>
            </w:pPr>
          </w:p>
          <w:p w14:paraId="693CAB38" w14:textId="77777777" w:rsidR="00A157ED" w:rsidRDefault="00A157ED" w:rsidP="00380255">
            <w:pPr>
              <w:widowControl w:val="0"/>
              <w:jc w:val="both"/>
              <w:rPr>
                <w:szCs w:val="22"/>
                <w:lang w:eastAsia="lt-LT"/>
              </w:rPr>
            </w:pPr>
          </w:p>
          <w:p w14:paraId="19BDFBCA" w14:textId="77777777" w:rsidR="00A157ED" w:rsidRDefault="00A157ED" w:rsidP="00380255">
            <w:pPr>
              <w:widowControl w:val="0"/>
              <w:jc w:val="both"/>
              <w:rPr>
                <w:szCs w:val="22"/>
                <w:lang w:eastAsia="lt-LT"/>
              </w:rPr>
            </w:pPr>
          </w:p>
          <w:p w14:paraId="3B25D886" w14:textId="7CA98C11" w:rsidR="00A157ED" w:rsidRPr="006B5C78" w:rsidRDefault="00A157ED"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22DE634E" w14:textId="2F01674F" w:rsidR="00D8137B" w:rsidRPr="002C2A6E" w:rsidRDefault="001E3E5F" w:rsidP="00380255">
                  <w:pPr>
                    <w:widowControl w:val="0"/>
                    <w:rPr>
                      <w:b/>
                      <w:bCs/>
                      <w:szCs w:val="22"/>
                      <w:lang w:eastAsia="lt-LT"/>
                    </w:rPr>
                  </w:pPr>
                  <w:r>
                    <w:rPr>
                      <w:b/>
                      <w:bCs/>
                      <w:szCs w:val="22"/>
                      <w:lang w:eastAsia="lt-LT"/>
                    </w:rPr>
                    <w:t>1</w:t>
                  </w:r>
                  <w:r w:rsidR="00D8137B" w:rsidRPr="002C2A6E">
                    <w:rPr>
                      <w:b/>
                      <w:bCs/>
                      <w:szCs w:val="22"/>
                      <w:lang w:eastAsia="lt-LT"/>
                    </w:rPr>
                    <w:t xml:space="preserve"> (</w:t>
                  </w:r>
                  <w:r>
                    <w:rPr>
                      <w:b/>
                      <w:bCs/>
                      <w:szCs w:val="22"/>
                      <w:lang w:eastAsia="lt-LT"/>
                    </w:rPr>
                    <w:t>vienas</w:t>
                  </w:r>
                  <w:r w:rsidR="00D8137B" w:rsidRPr="002C2A6E">
                    <w:rPr>
                      <w:b/>
                      <w:bCs/>
                      <w:szCs w:val="22"/>
                      <w:lang w:eastAsia="lt-LT"/>
                    </w:rPr>
                    <w:t>) mėn</w:t>
                  </w:r>
                  <w:r>
                    <w:rPr>
                      <w:b/>
                      <w:bCs/>
                      <w:szCs w:val="22"/>
                      <w:lang w:eastAsia="lt-LT"/>
                    </w:rPr>
                    <w:t>uo</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2B053172" w:rsidR="00D8137B" w:rsidRPr="00EC27E3" w:rsidRDefault="00A157ED"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 xml:space="preserve">Rangovas atsako už nuostolius, kuriuos tretieji asmenys patiria dėl to, kad Rangovas </w:t>
            </w:r>
            <w:r w:rsidRPr="006B5C78">
              <w:rPr>
                <w:szCs w:val="22"/>
                <w:lang w:eastAsia="lt-LT"/>
              </w:rPr>
              <w:lastRenderedPageBreak/>
              <w:t>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1FC9E7B9"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 xml:space="preserve">Jeigu Rangovas vėluoja atlikti Darbus iki Darbų atlikimo termino, nurodyto Sutarties 6.1 papunktyje, pabaigos ir nepateikia Užsakovui pagrįstų įrodymų, pateisinančių Darbų </w:t>
            </w:r>
            <w:r w:rsidRPr="006B5C78">
              <w:rPr>
                <w:szCs w:val="22"/>
                <w:lang w:eastAsia="lt-LT"/>
              </w:rPr>
              <w:lastRenderedPageBreak/>
              <w:t>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7F931D70" w14:textId="15553CA1" w:rsidR="00D8137B" w:rsidRPr="006B5C78"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Darbų kiekių žiniaraštyje nurodytos Darbų grupių (etapų) fiksuotos kainos gali būti sumokėtos </w:t>
            </w:r>
            <w:r w:rsidRPr="00686791">
              <w:rPr>
                <w:color w:val="000000" w:themeColor="text1"/>
                <w:szCs w:val="22"/>
                <w:lang w:eastAsia="lt-LT"/>
              </w:rPr>
              <w:lastRenderedPageBreak/>
              <w:t>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lastRenderedPageBreak/>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2040828"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22040829"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22040830"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22040831"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22040832"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Yu Gothic"/>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0F2EF4"/>
    <w:rsid w:val="001B00D5"/>
    <w:rsid w:val="001B0693"/>
    <w:rsid w:val="001E3E5F"/>
    <w:rsid w:val="00201DF7"/>
    <w:rsid w:val="00241D85"/>
    <w:rsid w:val="00284668"/>
    <w:rsid w:val="002C2A6E"/>
    <w:rsid w:val="002C2E85"/>
    <w:rsid w:val="0030166F"/>
    <w:rsid w:val="003A53DD"/>
    <w:rsid w:val="003F7155"/>
    <w:rsid w:val="00422844"/>
    <w:rsid w:val="004B0D0F"/>
    <w:rsid w:val="00555B8D"/>
    <w:rsid w:val="0057406F"/>
    <w:rsid w:val="005C6957"/>
    <w:rsid w:val="00686791"/>
    <w:rsid w:val="006B0B81"/>
    <w:rsid w:val="00722477"/>
    <w:rsid w:val="007B7EAA"/>
    <w:rsid w:val="007C2A2A"/>
    <w:rsid w:val="008656F7"/>
    <w:rsid w:val="009A55BD"/>
    <w:rsid w:val="00A157ED"/>
    <w:rsid w:val="00A44449"/>
    <w:rsid w:val="00A4570F"/>
    <w:rsid w:val="00A72DD4"/>
    <w:rsid w:val="00B32B8F"/>
    <w:rsid w:val="00BE2222"/>
    <w:rsid w:val="00C179C1"/>
    <w:rsid w:val="00C36363"/>
    <w:rsid w:val="00CE595B"/>
    <w:rsid w:val="00D66F1D"/>
    <w:rsid w:val="00D80B79"/>
    <w:rsid w:val="00D8137B"/>
    <w:rsid w:val="00DF5F7B"/>
    <w:rsid w:val="00E3123F"/>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15</Pages>
  <Words>31962</Words>
  <Characters>18219</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18</cp:revision>
  <dcterms:created xsi:type="dcterms:W3CDTF">2025-01-14T15:48:00Z</dcterms:created>
  <dcterms:modified xsi:type="dcterms:W3CDTF">2025-10-15T10:41:00Z</dcterms:modified>
</cp:coreProperties>
</file>