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423" w:rsidRDefault="00F44423" w:rsidP="00CC3EFF">
      <w:pPr>
        <w:spacing w:line="276" w:lineRule="auto"/>
        <w:jc w:val="center"/>
        <w:rPr>
          <w:b/>
        </w:rPr>
      </w:pPr>
      <w:r w:rsidRPr="001225EF">
        <w:rPr>
          <w:b/>
        </w:rPr>
        <w:t>TECHNINĖ SPECIFIKACIJA</w:t>
      </w:r>
    </w:p>
    <w:p w:rsidR="00F44423" w:rsidRDefault="00F44423" w:rsidP="00CC3EFF">
      <w:pPr>
        <w:pStyle w:val="Betarp"/>
        <w:spacing w:line="276" w:lineRule="auto"/>
      </w:pPr>
    </w:p>
    <w:p w:rsidR="00F44423" w:rsidRPr="0003757A" w:rsidRDefault="00F44423" w:rsidP="00CC3EFF">
      <w:pPr>
        <w:pStyle w:val="Betarp"/>
        <w:spacing w:line="276" w:lineRule="auto"/>
        <w:ind w:firstLine="1296"/>
        <w:jc w:val="both"/>
        <w:rPr>
          <w:szCs w:val="24"/>
        </w:rPr>
      </w:pPr>
      <w:r>
        <w:rPr>
          <w:szCs w:val="24"/>
        </w:rPr>
        <w:t xml:space="preserve">1. </w:t>
      </w:r>
      <w:r w:rsidRPr="000C36FB">
        <w:rPr>
          <w:szCs w:val="24"/>
        </w:rPr>
        <w:t>Ukmergės rajono savivaldybės administracija</w:t>
      </w:r>
      <w:r>
        <w:rPr>
          <w:szCs w:val="24"/>
        </w:rPr>
        <w:t xml:space="preserve"> </w:t>
      </w:r>
      <w:r w:rsidRPr="000C36FB">
        <w:rPr>
          <w:szCs w:val="24"/>
        </w:rPr>
        <w:t>numato įsigyti</w:t>
      </w:r>
      <w:r>
        <w:t xml:space="preserve"> </w:t>
      </w:r>
      <w:r w:rsidRPr="0003757A">
        <w:rPr>
          <w:szCs w:val="24"/>
        </w:rPr>
        <w:t>1780 vnt.</w:t>
      </w:r>
      <w:r>
        <w:rPr>
          <w:szCs w:val="24"/>
        </w:rPr>
        <w:t xml:space="preserve"> </w:t>
      </w:r>
      <w:r w:rsidRPr="005C5BB4">
        <w:rPr>
          <w:b/>
          <w:szCs w:val="24"/>
        </w:rPr>
        <w:t>(nurodytas preliminarus skaičius)</w:t>
      </w:r>
      <w:r w:rsidRPr="005C5BB4">
        <w:rPr>
          <w:szCs w:val="24"/>
        </w:rPr>
        <w:t xml:space="preserve"> </w:t>
      </w:r>
      <w:r w:rsidRPr="0003757A">
        <w:rPr>
          <w:szCs w:val="24"/>
        </w:rPr>
        <w:t>sulankstomų lovų (toliau – lovos), skirtų evaku</w:t>
      </w:r>
      <w:r>
        <w:rPr>
          <w:szCs w:val="24"/>
        </w:rPr>
        <w:t xml:space="preserve">ojamų gyventojų </w:t>
      </w:r>
      <w:r w:rsidRPr="0003757A">
        <w:rPr>
          <w:szCs w:val="24"/>
        </w:rPr>
        <w:t>laikinam apgyvendinimui kolektyvinės apsaugos statiniuose.</w:t>
      </w:r>
      <w:r>
        <w:rPr>
          <w:szCs w:val="24"/>
        </w:rPr>
        <w:t xml:space="preserve"> </w:t>
      </w:r>
      <w:r w:rsidRPr="0003757A">
        <w:rPr>
          <w:szCs w:val="24"/>
        </w:rPr>
        <w:t xml:space="preserve"> Lovos perkamos įgyvendinant projektą Nr. VRM-002-K-006 „Civilinės saugos stiprinimas Ukmergės rajono savivaldybėje“.</w:t>
      </w:r>
    </w:p>
    <w:p w:rsidR="00F44423" w:rsidRDefault="00F44423" w:rsidP="00CC3EFF">
      <w:pPr>
        <w:pStyle w:val="Betarp"/>
        <w:spacing w:line="276" w:lineRule="auto"/>
        <w:ind w:firstLine="1296"/>
        <w:jc w:val="both"/>
        <w:rPr>
          <w:szCs w:val="24"/>
        </w:rPr>
      </w:pPr>
      <w:r w:rsidRPr="001225EF">
        <w:rPr>
          <w:szCs w:val="24"/>
        </w:rPr>
        <w:t>2.</w:t>
      </w:r>
      <w:r>
        <w:rPr>
          <w:szCs w:val="24"/>
        </w:rPr>
        <w:t xml:space="preserve"> Lovų techninės charakteristikos:</w:t>
      </w:r>
    </w:p>
    <w:p w:rsidR="00F44423" w:rsidRDefault="00F44423" w:rsidP="00CC3EFF">
      <w:pPr>
        <w:pStyle w:val="Betarp"/>
        <w:spacing w:line="276" w:lineRule="auto"/>
        <w:ind w:firstLine="1296"/>
        <w:jc w:val="both"/>
        <w:rPr>
          <w:szCs w:val="24"/>
        </w:rPr>
      </w:pPr>
      <w:r>
        <w:rPr>
          <w:szCs w:val="24"/>
        </w:rPr>
        <w:t>2.1. tvirta ir greitai sulankstoma aliuminio konstrukcija;</w:t>
      </w:r>
    </w:p>
    <w:p w:rsidR="00F44423" w:rsidRDefault="00F44423" w:rsidP="00CC3EFF">
      <w:pPr>
        <w:pStyle w:val="Betarp"/>
        <w:spacing w:line="276" w:lineRule="auto"/>
        <w:ind w:firstLine="1296"/>
        <w:jc w:val="both"/>
        <w:rPr>
          <w:szCs w:val="24"/>
        </w:rPr>
      </w:pPr>
      <w:r>
        <w:rPr>
          <w:szCs w:val="24"/>
        </w:rPr>
        <w:t>2.2. lovos rėmas pagamintas iš lengvo lydinio aliuminio vamzdžio;</w:t>
      </w:r>
    </w:p>
    <w:p w:rsidR="00F44423" w:rsidRPr="00AB754D" w:rsidRDefault="00F44423" w:rsidP="00CC3EFF">
      <w:pPr>
        <w:pStyle w:val="Betarp"/>
        <w:spacing w:line="276" w:lineRule="auto"/>
        <w:ind w:firstLine="1296"/>
        <w:jc w:val="both"/>
        <w:rPr>
          <w:b/>
          <w:szCs w:val="24"/>
        </w:rPr>
      </w:pPr>
      <w:r w:rsidRPr="00AB754D">
        <w:rPr>
          <w:b/>
          <w:szCs w:val="24"/>
        </w:rPr>
        <w:t>2.3. gulto audinys pagamintas iš poliesterio;</w:t>
      </w:r>
    </w:p>
    <w:p w:rsidR="00F44423" w:rsidRPr="002B799C" w:rsidRDefault="00F44423" w:rsidP="00CC3EFF">
      <w:pPr>
        <w:pStyle w:val="Betarp"/>
        <w:spacing w:line="276" w:lineRule="auto"/>
        <w:ind w:firstLine="1296"/>
        <w:jc w:val="both"/>
        <w:rPr>
          <w:szCs w:val="24"/>
        </w:rPr>
      </w:pPr>
      <w:r w:rsidRPr="002B799C">
        <w:rPr>
          <w:szCs w:val="24"/>
        </w:rPr>
        <w:t>2.4. turi atlaikyti ne mažiau kaip 140 kg;</w:t>
      </w:r>
    </w:p>
    <w:p w:rsidR="00F44423" w:rsidRDefault="00F44423" w:rsidP="00CC3EFF">
      <w:pPr>
        <w:pStyle w:val="Betarp"/>
        <w:spacing w:line="276" w:lineRule="auto"/>
        <w:ind w:firstLine="1296"/>
        <w:jc w:val="both"/>
        <w:rPr>
          <w:szCs w:val="24"/>
        </w:rPr>
      </w:pPr>
      <w:r w:rsidRPr="002B799C">
        <w:rPr>
          <w:szCs w:val="24"/>
        </w:rPr>
        <w:t xml:space="preserve">2.5. Matmenys (ilgis x plotis x aukštis): </w:t>
      </w:r>
    </w:p>
    <w:p w:rsidR="00F44423" w:rsidRDefault="00F44423" w:rsidP="00CC3EFF">
      <w:pPr>
        <w:pStyle w:val="Betarp"/>
        <w:spacing w:line="276" w:lineRule="auto"/>
        <w:ind w:firstLine="1296"/>
        <w:jc w:val="both"/>
        <w:rPr>
          <w:szCs w:val="24"/>
        </w:rPr>
      </w:pPr>
      <w:r w:rsidRPr="002B799C">
        <w:rPr>
          <w:szCs w:val="24"/>
        </w:rPr>
        <w:t xml:space="preserve">ne mažesni kaip 200 cm x 70 cm x 40 cm, </w:t>
      </w:r>
    </w:p>
    <w:p w:rsidR="00F44423" w:rsidRPr="002B799C" w:rsidRDefault="00F44423" w:rsidP="00CC3EFF">
      <w:pPr>
        <w:pStyle w:val="Betarp"/>
        <w:spacing w:line="276" w:lineRule="auto"/>
        <w:ind w:firstLine="1296"/>
        <w:jc w:val="both"/>
        <w:rPr>
          <w:szCs w:val="24"/>
        </w:rPr>
      </w:pPr>
      <w:r w:rsidRPr="002B799C">
        <w:rPr>
          <w:szCs w:val="24"/>
        </w:rPr>
        <w:t>ne didesni kaip 210 cm x 80 cm x 50 cm.</w:t>
      </w:r>
    </w:p>
    <w:p w:rsidR="00F44423" w:rsidRPr="002B799C" w:rsidRDefault="00F44423" w:rsidP="00CC3EFF">
      <w:pPr>
        <w:pStyle w:val="Betarp"/>
        <w:spacing w:line="276" w:lineRule="auto"/>
        <w:ind w:firstLine="1296"/>
        <w:jc w:val="both"/>
        <w:rPr>
          <w:szCs w:val="24"/>
        </w:rPr>
      </w:pPr>
      <w:r w:rsidRPr="002B799C">
        <w:rPr>
          <w:szCs w:val="24"/>
        </w:rPr>
        <w:t>2.6. Komplekte turi būti transportavimo dėklas su rankena, kompaktiškas ir suformuotas taip, kad būtų galima lovą greitai išimti ir supakuoti.</w:t>
      </w:r>
    </w:p>
    <w:p w:rsidR="00F44423" w:rsidRPr="002B799C" w:rsidRDefault="00F44423" w:rsidP="00CC3EFF">
      <w:pPr>
        <w:pStyle w:val="Betarp"/>
        <w:spacing w:line="276" w:lineRule="auto"/>
        <w:ind w:firstLine="1296"/>
        <w:jc w:val="both"/>
        <w:rPr>
          <w:szCs w:val="24"/>
        </w:rPr>
      </w:pPr>
      <w:r w:rsidRPr="002B799C">
        <w:rPr>
          <w:szCs w:val="24"/>
        </w:rPr>
        <w:t>2.7. Į</w:t>
      </w:r>
      <w:r>
        <w:rPr>
          <w:szCs w:val="24"/>
        </w:rPr>
        <w:t xml:space="preserve"> dėklą</w:t>
      </w:r>
      <w:r w:rsidRPr="002B799C">
        <w:rPr>
          <w:szCs w:val="24"/>
        </w:rPr>
        <w:t xml:space="preserve"> sulankstomos lovos matmenys (ilgis x plotis x aukštis) ne daugiau kaip  105 cm x 25 cm x 20 cm.</w:t>
      </w:r>
    </w:p>
    <w:p w:rsidR="00F44423" w:rsidRPr="001225EF" w:rsidRDefault="00F44423" w:rsidP="00CC3EFF">
      <w:pPr>
        <w:pStyle w:val="Betarp"/>
        <w:spacing w:line="276" w:lineRule="auto"/>
        <w:ind w:firstLine="1247"/>
        <w:jc w:val="both"/>
        <w:rPr>
          <w:szCs w:val="24"/>
        </w:rPr>
      </w:pPr>
      <w:r>
        <w:rPr>
          <w:szCs w:val="24"/>
        </w:rPr>
        <w:t xml:space="preserve">3. Lovoms turi būti suteikta 24 mėn. garantija. </w:t>
      </w:r>
    </w:p>
    <w:p w:rsidR="00F44423" w:rsidRDefault="00F44423" w:rsidP="00CC3EFF">
      <w:pPr>
        <w:spacing w:line="276" w:lineRule="auto"/>
        <w:ind w:firstLine="1247"/>
        <w:jc w:val="both"/>
      </w:pPr>
      <w:r>
        <w:t xml:space="preserve">4. Lovų </w:t>
      </w:r>
      <w:r w:rsidRPr="00530FCA">
        <w:rPr>
          <w:rFonts w:eastAsia="Calibri"/>
          <w:kern w:val="2"/>
          <w:lang w:eastAsia="lt-LT"/>
          <w14:ligatures w14:val="standardContextual"/>
        </w:rPr>
        <w:t>eksploatacijos, aptarnavimo ir techninės priežiūros instrukcij</w:t>
      </w:r>
      <w:r>
        <w:rPr>
          <w:rFonts w:eastAsia="Calibri"/>
          <w:kern w:val="2"/>
          <w:lang w:eastAsia="lt-LT"/>
          <w14:ligatures w14:val="standardContextual"/>
        </w:rPr>
        <w:t>os</w:t>
      </w:r>
      <w:r>
        <w:t xml:space="preserve"> pateikiamos originalo kalba, kartu su vertimu į lietuvių kalbą. Dokumentus tiekėjas turės pateikti sutarties vykdymo metu (t. y. pristatydamas prekes). </w:t>
      </w:r>
    </w:p>
    <w:p w:rsidR="00F44423" w:rsidRDefault="00F44423" w:rsidP="00CC3EFF">
      <w:pPr>
        <w:tabs>
          <w:tab w:val="left" w:pos="3456"/>
        </w:tabs>
        <w:spacing w:line="276" w:lineRule="auto"/>
        <w:ind w:firstLine="1296"/>
        <w:jc w:val="both"/>
      </w:pPr>
      <w:r>
        <w:t xml:space="preserve">5. Sulankstomos lovos turi būti pristatytos lentelėje nurodytais adresais: </w:t>
      </w:r>
    </w:p>
    <w:p w:rsidR="00F44423" w:rsidRDefault="00F44423" w:rsidP="00CC3EFF">
      <w:pPr>
        <w:tabs>
          <w:tab w:val="left" w:pos="3456"/>
        </w:tabs>
        <w:spacing w:line="276" w:lineRule="auto"/>
        <w:ind w:firstLine="1296"/>
        <w:jc w:val="both"/>
      </w:pPr>
    </w:p>
    <w:tbl>
      <w:tblPr>
        <w:tblStyle w:val="Lentelstinklelis"/>
        <w:tblW w:w="0" w:type="auto"/>
        <w:tblLook w:val="04A0" w:firstRow="1" w:lastRow="0" w:firstColumn="1" w:lastColumn="0" w:noHBand="0" w:noVBand="1"/>
      </w:tblPr>
      <w:tblGrid>
        <w:gridCol w:w="683"/>
        <w:gridCol w:w="6935"/>
        <w:gridCol w:w="1443"/>
      </w:tblGrid>
      <w:tr w:rsidR="00F44423" w:rsidTr="0056006D">
        <w:tc>
          <w:tcPr>
            <w:tcW w:w="683" w:type="dxa"/>
          </w:tcPr>
          <w:p w:rsidR="00F44423" w:rsidRDefault="00F44423" w:rsidP="00CC3EFF">
            <w:pPr>
              <w:spacing w:line="276" w:lineRule="auto"/>
              <w:jc w:val="center"/>
            </w:pPr>
            <w:r>
              <w:t>Eil. Nr.</w:t>
            </w:r>
          </w:p>
        </w:tc>
        <w:tc>
          <w:tcPr>
            <w:tcW w:w="6935" w:type="dxa"/>
          </w:tcPr>
          <w:p w:rsidR="00F44423" w:rsidRDefault="00F44423" w:rsidP="00CC3EFF">
            <w:pPr>
              <w:spacing w:line="276" w:lineRule="auto"/>
              <w:jc w:val="center"/>
            </w:pPr>
            <w:r>
              <w:t>Sulankstomų lovų pristatymo adresai:</w:t>
            </w:r>
          </w:p>
        </w:tc>
        <w:tc>
          <w:tcPr>
            <w:tcW w:w="1443" w:type="dxa"/>
          </w:tcPr>
          <w:p w:rsidR="00F44423" w:rsidRDefault="00F44423" w:rsidP="00CC3EFF">
            <w:pPr>
              <w:spacing w:line="276" w:lineRule="auto"/>
              <w:jc w:val="center"/>
            </w:pPr>
            <w:r>
              <w:t>Preliminarūs kiekiai, vnt.</w:t>
            </w:r>
          </w:p>
        </w:tc>
      </w:tr>
      <w:tr w:rsidR="00F44423" w:rsidTr="0056006D">
        <w:tc>
          <w:tcPr>
            <w:tcW w:w="683" w:type="dxa"/>
          </w:tcPr>
          <w:p w:rsidR="00F44423" w:rsidRDefault="00F44423" w:rsidP="00CC3EFF">
            <w:pPr>
              <w:spacing w:line="276" w:lineRule="auto"/>
              <w:jc w:val="center"/>
            </w:pPr>
            <w:r>
              <w:t>1.</w:t>
            </w:r>
          </w:p>
        </w:tc>
        <w:tc>
          <w:tcPr>
            <w:tcW w:w="6935" w:type="dxa"/>
          </w:tcPr>
          <w:p w:rsidR="00F44423" w:rsidRDefault="00F44423" w:rsidP="00CC3EFF">
            <w:pPr>
              <w:spacing w:line="276" w:lineRule="auto"/>
              <w:jc w:val="both"/>
            </w:pPr>
            <w:r w:rsidRPr="00C12DBF">
              <w:t>Ukmergės Antano Smetonos gimnazija</w:t>
            </w:r>
            <w:r>
              <w:t xml:space="preserve">, </w:t>
            </w:r>
            <w:r w:rsidRPr="00C12DBF">
              <w:t>Basanavičiaus g. 7, Ukmergė</w:t>
            </w:r>
          </w:p>
        </w:tc>
        <w:tc>
          <w:tcPr>
            <w:tcW w:w="1443" w:type="dxa"/>
          </w:tcPr>
          <w:p w:rsidR="00F44423" w:rsidRDefault="00F44423" w:rsidP="00CC3EFF">
            <w:pPr>
              <w:spacing w:line="276" w:lineRule="auto"/>
              <w:jc w:val="center"/>
            </w:pPr>
            <w:r>
              <w:t>270</w:t>
            </w:r>
          </w:p>
        </w:tc>
      </w:tr>
      <w:tr w:rsidR="00F44423" w:rsidTr="0056006D">
        <w:tc>
          <w:tcPr>
            <w:tcW w:w="683" w:type="dxa"/>
          </w:tcPr>
          <w:p w:rsidR="00F44423" w:rsidRDefault="00F44423" w:rsidP="00CC3EFF">
            <w:pPr>
              <w:spacing w:line="276" w:lineRule="auto"/>
              <w:jc w:val="center"/>
            </w:pPr>
            <w:r>
              <w:t>2.</w:t>
            </w:r>
          </w:p>
        </w:tc>
        <w:tc>
          <w:tcPr>
            <w:tcW w:w="6935" w:type="dxa"/>
          </w:tcPr>
          <w:p w:rsidR="00F44423" w:rsidRDefault="00F44423" w:rsidP="00CC3EFF">
            <w:pPr>
              <w:spacing w:line="276" w:lineRule="auto"/>
              <w:jc w:val="both"/>
            </w:pPr>
            <w:r w:rsidRPr="00E41662">
              <w:t>Ukmergės Jono Basanavičiaus gimnazija</w:t>
            </w:r>
            <w:r>
              <w:t xml:space="preserve">, </w:t>
            </w:r>
            <w:r w:rsidRPr="00E41662">
              <w:t>Basanavičiaus g. 10</w:t>
            </w:r>
            <w:r>
              <w:t>, Ukmergė</w:t>
            </w:r>
          </w:p>
        </w:tc>
        <w:tc>
          <w:tcPr>
            <w:tcW w:w="1443" w:type="dxa"/>
          </w:tcPr>
          <w:p w:rsidR="00F44423" w:rsidRDefault="00F44423" w:rsidP="00CC3EFF">
            <w:pPr>
              <w:spacing w:line="276" w:lineRule="auto"/>
              <w:jc w:val="center"/>
            </w:pPr>
            <w:r>
              <w:t>240</w:t>
            </w:r>
          </w:p>
        </w:tc>
      </w:tr>
      <w:tr w:rsidR="00F44423" w:rsidTr="0056006D">
        <w:tc>
          <w:tcPr>
            <w:tcW w:w="683" w:type="dxa"/>
          </w:tcPr>
          <w:p w:rsidR="00F44423" w:rsidRDefault="00F44423" w:rsidP="00CC3EFF">
            <w:pPr>
              <w:spacing w:line="276" w:lineRule="auto"/>
              <w:jc w:val="center"/>
            </w:pPr>
            <w:r>
              <w:t>3.</w:t>
            </w:r>
          </w:p>
        </w:tc>
        <w:tc>
          <w:tcPr>
            <w:tcW w:w="6935" w:type="dxa"/>
          </w:tcPr>
          <w:p w:rsidR="00F44423" w:rsidRDefault="00F44423" w:rsidP="00CC3EFF">
            <w:pPr>
              <w:spacing w:line="276" w:lineRule="auto"/>
              <w:jc w:val="both"/>
            </w:pPr>
            <w:r w:rsidRPr="00E41662">
              <w:t xml:space="preserve">Ukmergės </w:t>
            </w:r>
            <w:proofErr w:type="spellStart"/>
            <w:r w:rsidRPr="00E41662">
              <w:t>Dukstynos</w:t>
            </w:r>
            <w:proofErr w:type="spellEnd"/>
            <w:r w:rsidRPr="00E41662">
              <w:t xml:space="preserve"> pagrindinė mokykla</w:t>
            </w:r>
            <w:r>
              <w:t>, Vaižganto g, 44, Ukmergė</w:t>
            </w:r>
          </w:p>
        </w:tc>
        <w:tc>
          <w:tcPr>
            <w:tcW w:w="1443" w:type="dxa"/>
          </w:tcPr>
          <w:p w:rsidR="00F44423" w:rsidRDefault="00F44423" w:rsidP="00CC3EFF">
            <w:pPr>
              <w:spacing w:line="276" w:lineRule="auto"/>
              <w:jc w:val="center"/>
            </w:pPr>
            <w:r>
              <w:t>450</w:t>
            </w:r>
          </w:p>
        </w:tc>
      </w:tr>
      <w:tr w:rsidR="00F44423" w:rsidTr="0056006D">
        <w:tc>
          <w:tcPr>
            <w:tcW w:w="683" w:type="dxa"/>
          </w:tcPr>
          <w:p w:rsidR="00F44423" w:rsidRDefault="00F44423" w:rsidP="00CC3EFF">
            <w:pPr>
              <w:spacing w:line="276" w:lineRule="auto"/>
              <w:jc w:val="center"/>
            </w:pPr>
            <w:r>
              <w:t>4.</w:t>
            </w:r>
          </w:p>
        </w:tc>
        <w:tc>
          <w:tcPr>
            <w:tcW w:w="6935" w:type="dxa"/>
          </w:tcPr>
          <w:p w:rsidR="00F44423" w:rsidRDefault="00F44423" w:rsidP="00CC3EFF">
            <w:pPr>
              <w:spacing w:line="276" w:lineRule="auto"/>
              <w:jc w:val="both"/>
            </w:pPr>
            <w:r w:rsidRPr="00E41662">
              <w:t>Ukmergės Šilo progimnazija</w:t>
            </w:r>
            <w:r>
              <w:t xml:space="preserve">, </w:t>
            </w:r>
            <w:r w:rsidRPr="00E41662">
              <w:t>Miškų g. 45,</w:t>
            </w:r>
            <w:r>
              <w:t xml:space="preserve"> Ukmergė</w:t>
            </w:r>
          </w:p>
        </w:tc>
        <w:tc>
          <w:tcPr>
            <w:tcW w:w="1443" w:type="dxa"/>
          </w:tcPr>
          <w:p w:rsidR="00F44423" w:rsidRDefault="00F44423" w:rsidP="00CC3EFF">
            <w:pPr>
              <w:spacing w:line="276" w:lineRule="auto"/>
              <w:jc w:val="center"/>
            </w:pPr>
            <w:r>
              <w:t>500</w:t>
            </w:r>
          </w:p>
        </w:tc>
      </w:tr>
      <w:tr w:rsidR="00F44423" w:rsidTr="0056006D">
        <w:tc>
          <w:tcPr>
            <w:tcW w:w="683" w:type="dxa"/>
          </w:tcPr>
          <w:p w:rsidR="00F44423" w:rsidRDefault="00F44423" w:rsidP="00CC3EFF">
            <w:pPr>
              <w:spacing w:line="276" w:lineRule="auto"/>
              <w:jc w:val="center"/>
            </w:pPr>
            <w:r>
              <w:t>5.</w:t>
            </w:r>
          </w:p>
        </w:tc>
        <w:tc>
          <w:tcPr>
            <w:tcW w:w="6935" w:type="dxa"/>
          </w:tcPr>
          <w:p w:rsidR="00F44423" w:rsidRDefault="00F44423" w:rsidP="00CC3EFF">
            <w:pPr>
              <w:spacing w:line="276" w:lineRule="auto"/>
              <w:jc w:val="both"/>
            </w:pPr>
            <w:r w:rsidRPr="00E41662">
              <w:t>Jaunimo laisvalaikio centras</w:t>
            </w:r>
            <w:r>
              <w:t>, Miškų g. 29, Ukmergė</w:t>
            </w:r>
          </w:p>
        </w:tc>
        <w:tc>
          <w:tcPr>
            <w:tcW w:w="1443" w:type="dxa"/>
          </w:tcPr>
          <w:p w:rsidR="00F44423" w:rsidRDefault="00F44423" w:rsidP="00CC3EFF">
            <w:pPr>
              <w:spacing w:line="276" w:lineRule="auto"/>
              <w:jc w:val="center"/>
            </w:pPr>
            <w:r>
              <w:t>100</w:t>
            </w:r>
          </w:p>
        </w:tc>
      </w:tr>
      <w:tr w:rsidR="00F44423" w:rsidTr="0056006D">
        <w:tc>
          <w:tcPr>
            <w:tcW w:w="683" w:type="dxa"/>
          </w:tcPr>
          <w:p w:rsidR="00F44423" w:rsidRDefault="00F44423" w:rsidP="00CC3EFF">
            <w:pPr>
              <w:spacing w:line="276" w:lineRule="auto"/>
              <w:jc w:val="center"/>
            </w:pPr>
            <w:r>
              <w:t>6.</w:t>
            </w:r>
          </w:p>
        </w:tc>
        <w:tc>
          <w:tcPr>
            <w:tcW w:w="6935" w:type="dxa"/>
          </w:tcPr>
          <w:p w:rsidR="00F44423" w:rsidRDefault="00F44423" w:rsidP="00CC3EFF">
            <w:pPr>
              <w:spacing w:line="276" w:lineRule="auto"/>
            </w:pPr>
            <w:proofErr w:type="spellStart"/>
            <w:r w:rsidRPr="00E41662">
              <w:t>Taujėnų</w:t>
            </w:r>
            <w:proofErr w:type="spellEnd"/>
            <w:r w:rsidRPr="00E41662">
              <w:t xml:space="preserve"> gimnazija</w:t>
            </w:r>
            <w:r>
              <w:t xml:space="preserve">, </w:t>
            </w:r>
            <w:r w:rsidRPr="00E41662">
              <w:t xml:space="preserve">Ukmergės g. 5, </w:t>
            </w:r>
            <w:proofErr w:type="spellStart"/>
            <w:r w:rsidRPr="00E41662">
              <w:t>Taujėnai</w:t>
            </w:r>
            <w:proofErr w:type="spellEnd"/>
            <w:r w:rsidRPr="00E41662">
              <w:t>, Ukmergės r.</w:t>
            </w:r>
          </w:p>
        </w:tc>
        <w:tc>
          <w:tcPr>
            <w:tcW w:w="1443" w:type="dxa"/>
          </w:tcPr>
          <w:p w:rsidR="00F44423" w:rsidRDefault="00F44423" w:rsidP="00CC3EFF">
            <w:pPr>
              <w:spacing w:line="276" w:lineRule="auto"/>
              <w:jc w:val="center"/>
            </w:pPr>
            <w:r>
              <w:t>220</w:t>
            </w:r>
          </w:p>
        </w:tc>
      </w:tr>
    </w:tbl>
    <w:p w:rsidR="00F44423" w:rsidRDefault="00F44423" w:rsidP="00CC3EFF">
      <w:pPr>
        <w:spacing w:line="276" w:lineRule="auto"/>
        <w:rPr>
          <w:b/>
        </w:rPr>
      </w:pPr>
    </w:p>
    <w:p w:rsidR="00F44423" w:rsidRPr="0010694D" w:rsidRDefault="00F44423" w:rsidP="00CC3EFF">
      <w:pPr>
        <w:spacing w:line="276" w:lineRule="auto"/>
        <w:ind w:firstLine="1247"/>
        <w:jc w:val="both"/>
        <w:rPr>
          <w:b/>
        </w:rPr>
      </w:pPr>
      <w:r>
        <w:t xml:space="preserve">6. </w:t>
      </w:r>
      <w:bookmarkStart w:id="0" w:name="_Hlk210809896"/>
      <w:r w:rsidRPr="00370A7D">
        <w:rPr>
          <w:b/>
          <w:bCs/>
        </w:rPr>
        <w:t>Vykdomas žaliasis pirkimas</w:t>
      </w:r>
      <w:r w:rsidRPr="00370A7D">
        <w:t xml:space="preserve"> vadovaujantis Lietuvos Respublikos aplinkos ministro 2011 m. birželio 28 d. įsakymo Nr. D1-508 „Dėl aplinkos apsaugos kriterijų taikymo, vykdant žaliuosius pirkimus tvarkos aprašo patvirtinimo“ (aktuali redakcija Lietuvos Respublikos aplinkos ministro 2022 m. gruodžio 13 d. įsakymas Nr. D1-401) Aplinkos apsaugos kriterijų taikymo, vykdant žaliuosius pirkimus tvarkos aprašo 4.1. punktu „4.1 yra Produktų, kurių viešiesiems pirkimams ir pirkimams taikytini minimalūs aplinkos apsaugos kriterijai, sąraše, nurodytame </w:t>
      </w:r>
      <w:r w:rsidRPr="00463A6E">
        <w:rPr>
          <w:b/>
        </w:rPr>
        <w:t>Tvarkos aprašo</w:t>
      </w:r>
      <w:r w:rsidRPr="00370A7D">
        <w:t xml:space="preserve"> 1 priede (toliau – produktų sąrašas) ir atitinka visus produktui nustatytus ir aplinkos ministro įsakymu patvirtintus minimalius aplinkos apsaugos kriterijus, nurodytus </w:t>
      </w:r>
      <w:r w:rsidRPr="00463A6E">
        <w:rPr>
          <w:b/>
        </w:rPr>
        <w:t>Tvarkos aprašo</w:t>
      </w:r>
      <w:r w:rsidRPr="00370A7D">
        <w:t xml:space="preserve"> 2 priede“. </w:t>
      </w:r>
      <w:r w:rsidRPr="0010694D">
        <w:rPr>
          <w:b/>
        </w:rPr>
        <w:t>Sulankstomos lovos turi atitikti minimalius aplinkos apsaugos kriterijus</w:t>
      </w:r>
      <w:bookmarkEnd w:id="0"/>
      <w:r w:rsidRPr="0010694D">
        <w:rPr>
          <w:b/>
        </w:rPr>
        <w:t>, t. y. :</w:t>
      </w:r>
    </w:p>
    <w:p w:rsidR="00F44423" w:rsidRDefault="00F44423" w:rsidP="00CC3EFF">
      <w:pPr>
        <w:spacing w:line="276" w:lineRule="auto"/>
        <w:ind w:firstLine="1247"/>
        <w:jc w:val="both"/>
      </w:pPr>
      <w:r w:rsidRPr="00527AA9">
        <w:rPr>
          <w:color w:val="000000"/>
        </w:rPr>
        <w:lastRenderedPageBreak/>
        <w:t>Tekstilės gaminiai (išskyrus darbo rūbus):</w:t>
      </w:r>
      <w:r>
        <w:t xml:space="preserve">  </w:t>
      </w:r>
    </w:p>
    <w:p w:rsidR="00F44423" w:rsidRPr="00501B1E" w:rsidRDefault="00F44423" w:rsidP="00CC3EFF">
      <w:pPr>
        <w:spacing w:line="276" w:lineRule="auto"/>
        <w:ind w:firstLine="1296"/>
        <w:jc w:val="both"/>
      </w:pPr>
      <w:bookmarkStart w:id="1" w:name="part_a8753c2f027744c4b91e70d98efae572"/>
      <w:bookmarkEnd w:id="1"/>
      <w:r w:rsidRPr="00501B1E">
        <w:t>6.</w:t>
      </w:r>
      <w:r w:rsidR="00461E73">
        <w:t>1</w:t>
      </w:r>
      <w:r w:rsidRPr="00501B1E">
        <w:t>. minimalūs aplinkos apsaugos kriterijai taikomi tekstilės gaminiams, kuriuose:</w:t>
      </w:r>
    </w:p>
    <w:p w:rsidR="00F44423" w:rsidRDefault="00F44423" w:rsidP="00CC3EFF">
      <w:pPr>
        <w:spacing w:line="276" w:lineRule="auto"/>
        <w:ind w:firstLine="1296"/>
        <w:jc w:val="both"/>
        <w:rPr>
          <w:color w:val="000000"/>
        </w:rPr>
      </w:pPr>
      <w:bookmarkStart w:id="2" w:name="part_eafbed91570a4cdca3e636d7eede92b6"/>
      <w:bookmarkEnd w:id="2"/>
      <w:r>
        <w:rPr>
          <w:color w:val="000000"/>
        </w:rPr>
        <w:t>6.</w:t>
      </w:r>
      <w:r w:rsidR="00461E73">
        <w:rPr>
          <w:color w:val="000000"/>
        </w:rPr>
        <w:t>1</w:t>
      </w:r>
      <w:r w:rsidR="00501B1E">
        <w:rPr>
          <w:color w:val="000000"/>
        </w:rPr>
        <w:t>.</w:t>
      </w:r>
      <w:r w:rsidRPr="00D23D05">
        <w:rPr>
          <w:color w:val="000000"/>
        </w:rPr>
        <w:t>1. naudojamas poliesterio pluoštas turi būti 100 proc. pagamintas iš perdirbtų atliekų</w:t>
      </w:r>
      <w:r w:rsidR="00AB754D">
        <w:rPr>
          <w:color w:val="000000"/>
        </w:rPr>
        <w:t>.</w:t>
      </w:r>
    </w:p>
    <w:p w:rsidR="00F44423" w:rsidRPr="00874DEF" w:rsidRDefault="00F44423" w:rsidP="00CC3EFF">
      <w:pPr>
        <w:spacing w:line="276" w:lineRule="auto"/>
        <w:ind w:firstLine="1296"/>
        <w:jc w:val="both"/>
        <w:rPr>
          <w:lang w:eastAsia="lt-LT"/>
        </w:rPr>
      </w:pPr>
      <w:r w:rsidRPr="005D3DC0">
        <w:rPr>
          <w:b/>
          <w:bCs/>
        </w:rPr>
        <w:t>Atitiktį reikalavimams įrodantys dokumentai</w:t>
      </w:r>
      <w:r w:rsidRPr="005D0100">
        <w:t>: (</w:t>
      </w:r>
      <w:r>
        <w:t>6.</w:t>
      </w:r>
      <w:r w:rsidR="00461E73">
        <w:t>1</w:t>
      </w:r>
      <w:r>
        <w:t xml:space="preserve">.1 </w:t>
      </w:r>
      <w:r w:rsidRPr="005D0100">
        <w:t xml:space="preserve">papunkčiui) </w:t>
      </w:r>
      <w:r w:rsidRPr="005D0100">
        <w:rPr>
          <w:color w:val="000000"/>
          <w:lang w:eastAsia="lt-LT"/>
        </w:rPr>
        <w:t xml:space="preserve">Dokumentai, pagrindžiantys, kad naudojamas poliesterio pluoštas yra 100 proc. pagamintas iš perdirbtų atliekų (pvz. GRC (angl. Global </w:t>
      </w:r>
      <w:proofErr w:type="spellStart"/>
      <w:r w:rsidRPr="005D0100">
        <w:rPr>
          <w:color w:val="000000"/>
          <w:lang w:eastAsia="lt-LT"/>
        </w:rPr>
        <w:t>Recycling</w:t>
      </w:r>
      <w:proofErr w:type="spellEnd"/>
      <w:r w:rsidRPr="005D0100">
        <w:rPr>
          <w:color w:val="000000"/>
          <w:lang w:eastAsia="lt-LT"/>
        </w:rPr>
        <w:t xml:space="preserve"> Standard) sertifikatas)), žaliavos ar medžiagos įsigijimo dokumentai, arba kiti lygiaverčiai įrodymai.</w:t>
      </w:r>
      <w:r>
        <w:rPr>
          <w:color w:val="000000"/>
          <w:lang w:eastAsia="lt-LT"/>
        </w:rPr>
        <w:t xml:space="preserve"> </w:t>
      </w:r>
      <w:r w:rsidRPr="00874DEF">
        <w:rPr>
          <w:lang w:eastAsia="lt-LT"/>
        </w:rPr>
        <w:t xml:space="preserve">Tiekėjas kartu su lovomis turės pateikti atitiktį įrodančius dokumentus. </w:t>
      </w:r>
      <w:bookmarkStart w:id="3" w:name="_Hlk182313274"/>
    </w:p>
    <w:p w:rsidR="00F44423" w:rsidRDefault="00F44423" w:rsidP="00CC3EFF">
      <w:pPr>
        <w:spacing w:line="276" w:lineRule="auto"/>
        <w:ind w:firstLine="1296"/>
        <w:jc w:val="both"/>
        <w:rPr>
          <w:bCs/>
        </w:rPr>
      </w:pPr>
      <w:r w:rsidRPr="005C5BB4">
        <w:rPr>
          <w:b/>
          <w:bCs/>
        </w:rPr>
        <w:t>*7.</w:t>
      </w:r>
      <w:r>
        <w:rPr>
          <w:bCs/>
        </w:rPr>
        <w:t xml:space="preserve"> </w:t>
      </w:r>
      <w:r w:rsidRPr="000855FE">
        <w:rPr>
          <w:bCs/>
        </w:rPr>
        <w:t>Gaminių pakuotės</w:t>
      </w:r>
      <w:r w:rsidRPr="000855FE">
        <w:rPr>
          <w:b/>
        </w:rPr>
        <w:t xml:space="preserve"> turi būti laikytinos perdirbamosiomis pakuotėmis</w:t>
      </w:r>
      <w:r w:rsidRPr="000855FE">
        <w:rPr>
          <w:bCs/>
        </w:rPr>
        <w:t xml:space="preserve"> pagal Lietuvos Respublikos mokesčio už aplinkos teršimą įstatymo nuostatas ir (ar) turi būti vienalytės (homogeniškos) pakuotės, pagamintos iš vienos rūšies medžiagos: </w:t>
      </w:r>
    </w:p>
    <w:p w:rsidR="00F44423" w:rsidRPr="005C5BB4" w:rsidRDefault="00F44423" w:rsidP="00CC3EFF">
      <w:pPr>
        <w:pStyle w:val="Betarp"/>
        <w:tabs>
          <w:tab w:val="left" w:pos="1704"/>
          <w:tab w:val="left" w:pos="1968"/>
        </w:tabs>
        <w:spacing w:line="276" w:lineRule="auto"/>
        <w:rPr>
          <w:bCs/>
          <w:szCs w:val="24"/>
        </w:rPr>
      </w:pPr>
      <w:r>
        <w:rPr>
          <w:bCs/>
        </w:rPr>
        <w:tab/>
      </w:r>
      <w:r>
        <w:rPr>
          <w:bCs/>
        </w:rPr>
        <w:tab/>
      </w:r>
      <w:r>
        <w:rPr>
          <w:bCs/>
        </w:rPr>
        <w:tab/>
      </w:r>
      <w:r>
        <w:rPr>
          <w:bCs/>
        </w:rPr>
        <w:tab/>
      </w:r>
      <w:r>
        <w:rPr>
          <w:bCs/>
        </w:rPr>
        <w:tab/>
      </w:r>
      <w:r>
        <w:rPr>
          <w:bCs/>
        </w:rPr>
        <w:tab/>
      </w:r>
      <w:r w:rsidRPr="005C5BB4">
        <w:rPr>
          <w:bCs/>
          <w:szCs w:val="24"/>
        </w:rPr>
        <w:tab/>
      </w:r>
      <w:r w:rsidRPr="005C5BB4">
        <w:rPr>
          <w:bCs/>
          <w:szCs w:val="24"/>
        </w:rPr>
        <w:tab/>
      </w:r>
      <w:r w:rsidRPr="005C5BB4">
        <w:rPr>
          <w:bCs/>
          <w:szCs w:val="24"/>
        </w:rPr>
        <w:tab/>
      </w:r>
      <w:r w:rsidRPr="005C5BB4">
        <w:rPr>
          <w:bCs/>
          <w:szCs w:val="24"/>
        </w:rPr>
        <w:tab/>
      </w:r>
      <w:r w:rsidRPr="005C5BB4">
        <w:rPr>
          <w:bCs/>
          <w:szCs w:val="24"/>
        </w:rPr>
        <w:tab/>
      </w:r>
      <w:r w:rsidRPr="005C5BB4">
        <w:rPr>
          <w:bCs/>
          <w:szCs w:val="24"/>
        </w:rPr>
        <w:tab/>
      </w:r>
      <w:r w:rsidR="00CD3644">
        <w:rPr>
          <w:bCs/>
          <w:szCs w:val="24"/>
        </w:rPr>
        <w:tab/>
      </w:r>
      <w:r w:rsidR="00CD3644">
        <w:rPr>
          <w:bCs/>
          <w:szCs w:val="24"/>
        </w:rPr>
        <w:tab/>
      </w:r>
      <w:r w:rsidR="00CD3644">
        <w:rPr>
          <w:bCs/>
          <w:szCs w:val="24"/>
        </w:rPr>
        <w:tab/>
      </w:r>
      <w:r w:rsidR="00461E73">
        <w:rPr>
          <w:bCs/>
          <w:szCs w:val="24"/>
        </w:rPr>
        <w:t>1</w:t>
      </w:r>
      <w:r w:rsidRPr="005C5BB4">
        <w:rPr>
          <w:bCs/>
          <w:szCs w:val="24"/>
        </w:rPr>
        <w:t xml:space="preserve"> lentelė</w:t>
      </w:r>
    </w:p>
    <w:p w:rsidR="00F44423" w:rsidRPr="005C5BB4" w:rsidRDefault="00F44423" w:rsidP="00CC3EFF">
      <w:pPr>
        <w:suppressAutoHyphens/>
        <w:spacing w:line="276" w:lineRule="auto"/>
        <w:ind w:firstLine="851"/>
        <w:jc w:val="both"/>
        <w:rPr>
          <w:b/>
          <w:bCs/>
          <w:color w:val="00000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401"/>
        <w:gridCol w:w="3647"/>
      </w:tblGrid>
      <w:tr w:rsidR="00F44423" w:rsidRPr="005C5BB4" w:rsidTr="0056006D">
        <w:tc>
          <w:tcPr>
            <w:tcW w:w="301" w:type="pct"/>
          </w:tcPr>
          <w:p w:rsidR="00F44423" w:rsidRPr="005C5BB4" w:rsidRDefault="00F44423" w:rsidP="00CC3EFF">
            <w:pPr>
              <w:suppressAutoHyphens/>
              <w:spacing w:line="276" w:lineRule="auto"/>
              <w:jc w:val="center"/>
              <w:rPr>
                <w:color w:val="000000"/>
                <w:kern w:val="2"/>
                <w:lang w:eastAsia="en-GB"/>
              </w:rPr>
            </w:pPr>
            <w:r w:rsidRPr="005C5BB4">
              <w:rPr>
                <w:color w:val="000000"/>
                <w:kern w:val="2"/>
                <w:lang w:eastAsia="en-GB"/>
              </w:rPr>
              <w:t>Eil. Nr.</w:t>
            </w:r>
          </w:p>
        </w:tc>
        <w:tc>
          <w:tcPr>
            <w:tcW w:w="2805" w:type="pct"/>
          </w:tcPr>
          <w:p w:rsidR="00F44423" w:rsidRPr="005C5BB4" w:rsidRDefault="00F44423" w:rsidP="00CC3EFF">
            <w:pPr>
              <w:suppressAutoHyphens/>
              <w:spacing w:line="276" w:lineRule="auto"/>
              <w:jc w:val="center"/>
              <w:rPr>
                <w:color w:val="000000"/>
                <w:kern w:val="2"/>
                <w:lang w:eastAsia="en-GB"/>
              </w:rPr>
            </w:pPr>
            <w:r w:rsidRPr="005C5BB4">
              <w:rPr>
                <w:color w:val="000000"/>
                <w:kern w:val="2"/>
                <w:lang w:eastAsia="en-GB"/>
              </w:rPr>
              <w:t>Pakuotės medžiaga</w:t>
            </w:r>
          </w:p>
        </w:tc>
        <w:tc>
          <w:tcPr>
            <w:tcW w:w="1895" w:type="pct"/>
          </w:tcPr>
          <w:p w:rsidR="00F44423" w:rsidRPr="005C5BB4" w:rsidRDefault="00F44423" w:rsidP="00CC3EFF">
            <w:pPr>
              <w:suppressAutoHyphens/>
              <w:spacing w:line="276" w:lineRule="auto"/>
              <w:jc w:val="center"/>
              <w:rPr>
                <w:color w:val="000000"/>
                <w:kern w:val="2"/>
                <w:lang w:eastAsia="en-GB"/>
              </w:rPr>
            </w:pPr>
            <w:r w:rsidRPr="005C5BB4">
              <w:rPr>
                <w:color w:val="000000"/>
                <w:kern w:val="2"/>
                <w:lang w:eastAsia="en-GB"/>
              </w:rPr>
              <w:t>Ženklinimas</w:t>
            </w:r>
          </w:p>
        </w:tc>
      </w:tr>
      <w:tr w:rsidR="00F44423" w:rsidRPr="005C5BB4" w:rsidTr="0056006D">
        <w:tc>
          <w:tcPr>
            <w:tcW w:w="301"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1.</w:t>
            </w:r>
          </w:p>
        </w:tc>
        <w:tc>
          <w:tcPr>
            <w:tcW w:w="2805"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Stiklas</w:t>
            </w:r>
          </w:p>
        </w:tc>
        <w:tc>
          <w:tcPr>
            <w:tcW w:w="1895"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GL (arba GL nuo 70 iki 79)</w:t>
            </w:r>
          </w:p>
        </w:tc>
      </w:tr>
      <w:tr w:rsidR="00F44423" w:rsidRPr="005C5BB4" w:rsidTr="0056006D">
        <w:tc>
          <w:tcPr>
            <w:tcW w:w="301"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2.</w:t>
            </w:r>
          </w:p>
        </w:tc>
        <w:tc>
          <w:tcPr>
            <w:tcW w:w="2805"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Metalas</w:t>
            </w:r>
          </w:p>
        </w:tc>
        <w:tc>
          <w:tcPr>
            <w:tcW w:w="1895"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FE (arba FE 40),</w:t>
            </w:r>
          </w:p>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ALU (arba ALU 41)</w:t>
            </w:r>
          </w:p>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Nuo 42 iki 49</w:t>
            </w:r>
          </w:p>
        </w:tc>
      </w:tr>
      <w:tr w:rsidR="00F44423" w:rsidRPr="005C5BB4" w:rsidTr="0056006D">
        <w:tc>
          <w:tcPr>
            <w:tcW w:w="301"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3.</w:t>
            </w:r>
          </w:p>
        </w:tc>
        <w:tc>
          <w:tcPr>
            <w:tcW w:w="2805"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Popierius ar kartonas</w:t>
            </w:r>
          </w:p>
        </w:tc>
        <w:tc>
          <w:tcPr>
            <w:tcW w:w="1895"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PAP (arba PAP nuo 20 iki 39)</w:t>
            </w:r>
          </w:p>
        </w:tc>
      </w:tr>
      <w:tr w:rsidR="00F44423" w:rsidRPr="005C5BB4" w:rsidTr="0056006D">
        <w:tc>
          <w:tcPr>
            <w:tcW w:w="301"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4.</w:t>
            </w:r>
          </w:p>
        </w:tc>
        <w:tc>
          <w:tcPr>
            <w:tcW w:w="2805"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Medis ar kamštinė medžiaga</w:t>
            </w:r>
          </w:p>
        </w:tc>
        <w:tc>
          <w:tcPr>
            <w:tcW w:w="1895" w:type="pct"/>
          </w:tcPr>
          <w:p w:rsidR="00F44423" w:rsidRPr="005C5BB4" w:rsidRDefault="00F44423" w:rsidP="00CC3EFF">
            <w:pPr>
              <w:tabs>
                <w:tab w:val="left" w:pos="1808"/>
              </w:tabs>
              <w:suppressAutoHyphens/>
              <w:spacing w:line="276" w:lineRule="auto"/>
              <w:jc w:val="both"/>
              <w:rPr>
                <w:color w:val="000000"/>
                <w:kern w:val="2"/>
                <w:lang w:eastAsia="en-GB"/>
              </w:rPr>
            </w:pPr>
            <w:r w:rsidRPr="005C5BB4">
              <w:rPr>
                <w:color w:val="000000"/>
                <w:kern w:val="2"/>
                <w:lang w:eastAsia="en-GB"/>
              </w:rPr>
              <w:t>FOR (arba FOR nuo 50 iki 59)</w:t>
            </w:r>
          </w:p>
        </w:tc>
      </w:tr>
      <w:tr w:rsidR="00F44423" w:rsidRPr="005C5BB4" w:rsidTr="0056006D">
        <w:tc>
          <w:tcPr>
            <w:tcW w:w="301"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5.</w:t>
            </w:r>
          </w:p>
        </w:tc>
        <w:tc>
          <w:tcPr>
            <w:tcW w:w="2805"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Medvilnė ar džiutas</w:t>
            </w:r>
          </w:p>
        </w:tc>
        <w:tc>
          <w:tcPr>
            <w:tcW w:w="1895"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TEX (arba TEX nuo 60 iki 69)</w:t>
            </w:r>
          </w:p>
        </w:tc>
      </w:tr>
      <w:tr w:rsidR="00F44423" w:rsidRPr="005C5BB4" w:rsidTr="0056006D">
        <w:tc>
          <w:tcPr>
            <w:tcW w:w="301"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6.</w:t>
            </w:r>
          </w:p>
        </w:tc>
        <w:tc>
          <w:tcPr>
            <w:tcW w:w="2805" w:type="pct"/>
          </w:tcPr>
          <w:p w:rsidR="00F44423" w:rsidRPr="005C5BB4" w:rsidRDefault="00F44423" w:rsidP="00CC3EFF">
            <w:pPr>
              <w:suppressAutoHyphens/>
              <w:spacing w:line="276" w:lineRule="auto"/>
              <w:jc w:val="both"/>
              <w:rPr>
                <w:color w:val="000000"/>
                <w:kern w:val="2"/>
                <w:lang w:eastAsia="en-GB"/>
              </w:rPr>
            </w:pPr>
            <w:proofErr w:type="spellStart"/>
            <w:r w:rsidRPr="005C5BB4">
              <w:rPr>
                <w:color w:val="000000"/>
                <w:kern w:val="2"/>
                <w:lang w:eastAsia="en-GB"/>
              </w:rPr>
              <w:t>Polietilentereftalatas</w:t>
            </w:r>
            <w:proofErr w:type="spellEnd"/>
          </w:p>
        </w:tc>
        <w:tc>
          <w:tcPr>
            <w:tcW w:w="1895"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PET arba PET 1</w:t>
            </w:r>
          </w:p>
        </w:tc>
      </w:tr>
      <w:tr w:rsidR="00F44423" w:rsidRPr="005C5BB4" w:rsidTr="0056006D">
        <w:tc>
          <w:tcPr>
            <w:tcW w:w="301"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7.</w:t>
            </w:r>
          </w:p>
        </w:tc>
        <w:tc>
          <w:tcPr>
            <w:tcW w:w="2805"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Aukšto tankumo polietilenas</w:t>
            </w:r>
          </w:p>
        </w:tc>
        <w:tc>
          <w:tcPr>
            <w:tcW w:w="1895" w:type="pct"/>
          </w:tcPr>
          <w:p w:rsidR="00F44423" w:rsidRPr="005C5BB4" w:rsidRDefault="00F44423" w:rsidP="00CC3EFF">
            <w:pPr>
              <w:tabs>
                <w:tab w:val="left" w:pos="872"/>
              </w:tabs>
              <w:suppressAutoHyphens/>
              <w:spacing w:line="276" w:lineRule="auto"/>
              <w:jc w:val="both"/>
              <w:rPr>
                <w:color w:val="000000"/>
                <w:kern w:val="2"/>
                <w:lang w:eastAsia="en-GB"/>
              </w:rPr>
            </w:pPr>
            <w:r w:rsidRPr="005C5BB4">
              <w:rPr>
                <w:color w:val="000000"/>
                <w:kern w:val="2"/>
                <w:lang w:eastAsia="en-GB"/>
              </w:rPr>
              <w:t>HDPE (arba HDPE 2)</w:t>
            </w:r>
          </w:p>
        </w:tc>
      </w:tr>
      <w:tr w:rsidR="00F44423" w:rsidRPr="005C5BB4" w:rsidTr="0056006D">
        <w:tc>
          <w:tcPr>
            <w:tcW w:w="301"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8.</w:t>
            </w:r>
          </w:p>
        </w:tc>
        <w:tc>
          <w:tcPr>
            <w:tcW w:w="2805" w:type="pct"/>
          </w:tcPr>
          <w:p w:rsidR="00F44423" w:rsidRPr="005C5BB4" w:rsidRDefault="00F44423" w:rsidP="00CC3EFF">
            <w:pPr>
              <w:suppressAutoHyphens/>
              <w:spacing w:line="276" w:lineRule="auto"/>
              <w:jc w:val="both"/>
              <w:rPr>
                <w:color w:val="000000"/>
                <w:kern w:val="2"/>
                <w:lang w:eastAsia="en-GB"/>
              </w:rPr>
            </w:pPr>
            <w:proofErr w:type="spellStart"/>
            <w:r w:rsidRPr="005C5BB4">
              <w:rPr>
                <w:color w:val="000000"/>
                <w:kern w:val="2"/>
                <w:lang w:eastAsia="en-GB"/>
              </w:rPr>
              <w:t>Polivinilchloridas</w:t>
            </w:r>
            <w:proofErr w:type="spellEnd"/>
          </w:p>
        </w:tc>
        <w:tc>
          <w:tcPr>
            <w:tcW w:w="1895"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PVC (arba PVC 3)</w:t>
            </w:r>
          </w:p>
        </w:tc>
      </w:tr>
      <w:tr w:rsidR="00F44423" w:rsidRPr="005C5BB4" w:rsidTr="0056006D">
        <w:tc>
          <w:tcPr>
            <w:tcW w:w="301"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9.</w:t>
            </w:r>
          </w:p>
        </w:tc>
        <w:tc>
          <w:tcPr>
            <w:tcW w:w="2805"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Žemo tankumo polietilenas</w:t>
            </w:r>
          </w:p>
        </w:tc>
        <w:tc>
          <w:tcPr>
            <w:tcW w:w="1895"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LDPE (arba LDPE 4)</w:t>
            </w:r>
          </w:p>
        </w:tc>
      </w:tr>
      <w:tr w:rsidR="00F44423" w:rsidRPr="005C5BB4" w:rsidTr="0056006D">
        <w:tc>
          <w:tcPr>
            <w:tcW w:w="301"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10.</w:t>
            </w:r>
          </w:p>
        </w:tc>
        <w:tc>
          <w:tcPr>
            <w:tcW w:w="2805"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Polipropilenas</w:t>
            </w:r>
          </w:p>
        </w:tc>
        <w:tc>
          <w:tcPr>
            <w:tcW w:w="1895"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PP (arba PP 5)</w:t>
            </w:r>
          </w:p>
        </w:tc>
      </w:tr>
      <w:tr w:rsidR="00F44423" w:rsidRPr="005C5BB4" w:rsidTr="0056006D">
        <w:tc>
          <w:tcPr>
            <w:tcW w:w="301"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11.</w:t>
            </w:r>
          </w:p>
        </w:tc>
        <w:tc>
          <w:tcPr>
            <w:tcW w:w="2805" w:type="pct"/>
          </w:tcPr>
          <w:p w:rsidR="00F44423" w:rsidRPr="005C5BB4" w:rsidRDefault="00F44423" w:rsidP="00CC3EFF">
            <w:pPr>
              <w:suppressAutoHyphens/>
              <w:spacing w:line="276" w:lineRule="auto"/>
              <w:jc w:val="both"/>
              <w:rPr>
                <w:color w:val="000000"/>
                <w:kern w:val="2"/>
                <w:lang w:eastAsia="en-GB"/>
              </w:rPr>
            </w:pPr>
            <w:proofErr w:type="spellStart"/>
            <w:r w:rsidRPr="005C5BB4">
              <w:rPr>
                <w:color w:val="000000"/>
                <w:kern w:val="2"/>
                <w:lang w:eastAsia="en-GB"/>
              </w:rPr>
              <w:t>Polistirenas</w:t>
            </w:r>
            <w:proofErr w:type="spellEnd"/>
          </w:p>
        </w:tc>
        <w:tc>
          <w:tcPr>
            <w:tcW w:w="1895" w:type="pct"/>
          </w:tcPr>
          <w:p w:rsidR="00F44423" w:rsidRPr="005C5BB4" w:rsidRDefault="00F44423" w:rsidP="00CC3EFF">
            <w:pPr>
              <w:suppressAutoHyphens/>
              <w:spacing w:line="276" w:lineRule="auto"/>
              <w:jc w:val="both"/>
              <w:rPr>
                <w:color w:val="000000"/>
                <w:kern w:val="2"/>
                <w:lang w:eastAsia="en-GB"/>
              </w:rPr>
            </w:pPr>
            <w:r w:rsidRPr="005C5BB4">
              <w:rPr>
                <w:color w:val="000000"/>
                <w:kern w:val="2"/>
                <w:lang w:eastAsia="en-GB"/>
              </w:rPr>
              <w:t>PS (arba PS 6)</w:t>
            </w:r>
          </w:p>
        </w:tc>
      </w:tr>
    </w:tbl>
    <w:p w:rsidR="00F44423" w:rsidRPr="005C5BB4" w:rsidRDefault="00F44423" w:rsidP="00CC3EFF">
      <w:pPr>
        <w:spacing w:line="276" w:lineRule="auto"/>
        <w:ind w:firstLine="1247"/>
        <w:jc w:val="both"/>
        <w:rPr>
          <w:bCs/>
        </w:rPr>
      </w:pPr>
    </w:p>
    <w:p w:rsidR="00F44423" w:rsidRPr="005C5BB4" w:rsidRDefault="00F44423" w:rsidP="00CC3EFF">
      <w:pPr>
        <w:spacing w:line="276" w:lineRule="auto"/>
        <w:ind w:firstLine="1247"/>
        <w:jc w:val="both"/>
        <w:rPr>
          <w:bCs/>
        </w:rPr>
      </w:pPr>
      <w:r>
        <w:rPr>
          <w:bCs/>
        </w:rPr>
        <w:t>8</w:t>
      </w:r>
      <w:r w:rsidRPr="005C5BB4">
        <w:rPr>
          <w:bCs/>
        </w:rPr>
        <w:t>. Galimi atitiktį įrodantys dokumentai:</w:t>
      </w:r>
    </w:p>
    <w:p w:rsidR="00F44423" w:rsidRPr="000855FE" w:rsidRDefault="00F44423" w:rsidP="00CC3EFF">
      <w:pPr>
        <w:spacing w:line="276" w:lineRule="auto"/>
        <w:ind w:firstLine="1247"/>
        <w:jc w:val="both"/>
        <w:rPr>
          <w:bCs/>
        </w:rPr>
      </w:pPr>
      <w:r>
        <w:t>8</w:t>
      </w:r>
      <w:r w:rsidRPr="000855FE">
        <w:t>.1.</w:t>
      </w:r>
      <w:r w:rsidRPr="000855FE">
        <w:rPr>
          <w:bCs/>
        </w:rPr>
        <w:t xml:space="preserve"> tiekėjo ar gamintojo dokumentai, įrodantys, kad pakuotės yra homogeniškos ir (ar) atitinkamai paženklintos, arba:</w:t>
      </w:r>
    </w:p>
    <w:p w:rsidR="00F44423" w:rsidRPr="000855FE" w:rsidRDefault="00F44423" w:rsidP="00CC3EFF">
      <w:pPr>
        <w:spacing w:line="276" w:lineRule="auto"/>
        <w:ind w:firstLine="1247"/>
        <w:jc w:val="both"/>
        <w:rPr>
          <w:bCs/>
        </w:rPr>
      </w:pPr>
      <w:r>
        <w:t>8</w:t>
      </w:r>
      <w:r w:rsidRPr="000855FE">
        <w:t>.2.</w:t>
      </w:r>
      <w:r w:rsidRPr="000855FE">
        <w:rPr>
          <w:bCs/>
        </w:rPr>
        <w:t xml:space="preserve"> dokumentai, pagrindžiantys atitiktį standartams, pagal kuriuos įrodoma, kad pakuočių medžiagos perdirbamos pvz., standartas LST EN 13432 „Pakuotė. Naudotų pakuočių, numatomų kompostuoti ir biologiškai skaidyti, reikalavimai.“, standartas </w:t>
      </w:r>
      <w:proofErr w:type="spellStart"/>
      <w:r w:rsidRPr="000855FE">
        <w:rPr>
          <w:bCs/>
        </w:rPr>
        <w:t>Voluntary</w:t>
      </w:r>
      <w:proofErr w:type="spellEnd"/>
      <w:r w:rsidRPr="000855FE">
        <w:rPr>
          <w:bCs/>
        </w:rPr>
        <w:t xml:space="preserve"> Standard </w:t>
      </w:r>
      <w:proofErr w:type="spellStart"/>
      <w:r w:rsidRPr="000855FE">
        <w:rPr>
          <w:bCs/>
        </w:rPr>
        <w:t>for</w:t>
      </w:r>
      <w:proofErr w:type="spellEnd"/>
      <w:r w:rsidRPr="000855FE">
        <w:rPr>
          <w:bCs/>
        </w:rPr>
        <w:t xml:space="preserve"> </w:t>
      </w:r>
      <w:proofErr w:type="spellStart"/>
      <w:r w:rsidRPr="000855FE">
        <w:rPr>
          <w:bCs/>
        </w:rPr>
        <w:t>Repulping</w:t>
      </w:r>
      <w:proofErr w:type="spellEnd"/>
      <w:r w:rsidRPr="000855FE">
        <w:rPr>
          <w:bCs/>
        </w:rPr>
        <w:t xml:space="preserve"> </w:t>
      </w:r>
      <w:proofErr w:type="spellStart"/>
      <w:r w:rsidRPr="000855FE">
        <w:rPr>
          <w:bCs/>
        </w:rPr>
        <w:t>and</w:t>
      </w:r>
      <w:proofErr w:type="spellEnd"/>
      <w:r w:rsidRPr="000855FE">
        <w:rPr>
          <w:bCs/>
        </w:rPr>
        <w:t xml:space="preserve"> </w:t>
      </w:r>
      <w:proofErr w:type="spellStart"/>
      <w:r w:rsidRPr="000855FE">
        <w:rPr>
          <w:bCs/>
        </w:rPr>
        <w:t>Recycling</w:t>
      </w:r>
      <w:proofErr w:type="spellEnd"/>
      <w:r w:rsidRPr="000855FE">
        <w:rPr>
          <w:bCs/>
        </w:rPr>
        <w:t xml:space="preserve"> </w:t>
      </w:r>
      <w:proofErr w:type="spellStart"/>
      <w:r w:rsidRPr="000855FE">
        <w:rPr>
          <w:bCs/>
        </w:rPr>
        <w:t>Corrugated</w:t>
      </w:r>
      <w:proofErr w:type="spellEnd"/>
      <w:r w:rsidRPr="000855FE">
        <w:rPr>
          <w:bCs/>
        </w:rPr>
        <w:t xml:space="preserve"> </w:t>
      </w:r>
      <w:proofErr w:type="spellStart"/>
      <w:r w:rsidRPr="000855FE">
        <w:rPr>
          <w:bCs/>
        </w:rPr>
        <w:t>Fiberboard</w:t>
      </w:r>
      <w:proofErr w:type="spellEnd"/>
      <w:r w:rsidRPr="000855FE">
        <w:rPr>
          <w:bCs/>
        </w:rPr>
        <w:t xml:space="preserve"> </w:t>
      </w:r>
      <w:proofErr w:type="spellStart"/>
      <w:r w:rsidRPr="000855FE">
        <w:rPr>
          <w:bCs/>
        </w:rPr>
        <w:t>Treated</w:t>
      </w:r>
      <w:proofErr w:type="spellEnd"/>
      <w:r w:rsidRPr="000855FE">
        <w:rPr>
          <w:bCs/>
        </w:rPr>
        <w:t xml:space="preserve"> to </w:t>
      </w:r>
      <w:proofErr w:type="spellStart"/>
      <w:r w:rsidRPr="000855FE">
        <w:rPr>
          <w:bCs/>
        </w:rPr>
        <w:t>Improve</w:t>
      </w:r>
      <w:proofErr w:type="spellEnd"/>
      <w:r w:rsidRPr="000855FE">
        <w:rPr>
          <w:bCs/>
        </w:rPr>
        <w:t xml:space="preserve"> </w:t>
      </w:r>
      <w:proofErr w:type="spellStart"/>
      <w:r w:rsidRPr="000855FE">
        <w:rPr>
          <w:bCs/>
        </w:rPr>
        <w:t>Its</w:t>
      </w:r>
      <w:proofErr w:type="spellEnd"/>
      <w:r w:rsidRPr="000855FE">
        <w:rPr>
          <w:bCs/>
        </w:rPr>
        <w:t xml:space="preserve"> </w:t>
      </w:r>
      <w:proofErr w:type="spellStart"/>
      <w:r w:rsidRPr="000855FE">
        <w:rPr>
          <w:bCs/>
        </w:rPr>
        <w:t>Performance</w:t>
      </w:r>
      <w:proofErr w:type="spellEnd"/>
      <w:r w:rsidRPr="000855FE">
        <w:rPr>
          <w:bCs/>
        </w:rPr>
        <w:t xml:space="preserve"> </w:t>
      </w:r>
      <w:proofErr w:type="spellStart"/>
      <w:r w:rsidRPr="000855FE">
        <w:rPr>
          <w:bCs/>
        </w:rPr>
        <w:t>in</w:t>
      </w:r>
      <w:proofErr w:type="spellEnd"/>
      <w:r w:rsidRPr="000855FE">
        <w:rPr>
          <w:bCs/>
        </w:rPr>
        <w:t xml:space="preserve"> </w:t>
      </w:r>
      <w:proofErr w:type="spellStart"/>
      <w:r w:rsidRPr="000855FE">
        <w:rPr>
          <w:bCs/>
        </w:rPr>
        <w:t>the</w:t>
      </w:r>
      <w:proofErr w:type="spellEnd"/>
      <w:r w:rsidRPr="000855FE">
        <w:rPr>
          <w:bCs/>
        </w:rPr>
        <w:t xml:space="preserve"> </w:t>
      </w:r>
      <w:proofErr w:type="spellStart"/>
      <w:r w:rsidRPr="000855FE">
        <w:rPr>
          <w:bCs/>
        </w:rPr>
        <w:t>Presence</w:t>
      </w:r>
      <w:proofErr w:type="spellEnd"/>
      <w:r w:rsidRPr="000855FE">
        <w:rPr>
          <w:bCs/>
        </w:rPr>
        <w:t xml:space="preserve"> </w:t>
      </w:r>
      <w:proofErr w:type="spellStart"/>
      <w:r w:rsidRPr="000855FE">
        <w:rPr>
          <w:bCs/>
        </w:rPr>
        <w:t>of</w:t>
      </w:r>
      <w:proofErr w:type="spellEnd"/>
      <w:r w:rsidRPr="000855FE">
        <w:rPr>
          <w:bCs/>
        </w:rPr>
        <w:t xml:space="preserve"> </w:t>
      </w:r>
      <w:proofErr w:type="spellStart"/>
      <w:r w:rsidRPr="000855FE">
        <w:rPr>
          <w:bCs/>
        </w:rPr>
        <w:t>Water</w:t>
      </w:r>
      <w:proofErr w:type="spellEnd"/>
      <w:r w:rsidRPr="000855FE">
        <w:rPr>
          <w:bCs/>
        </w:rPr>
        <w:t xml:space="preserve"> </w:t>
      </w:r>
      <w:proofErr w:type="spellStart"/>
      <w:r w:rsidRPr="000855FE">
        <w:rPr>
          <w:bCs/>
        </w:rPr>
        <w:t>and</w:t>
      </w:r>
      <w:proofErr w:type="spellEnd"/>
      <w:r w:rsidRPr="000855FE">
        <w:rPr>
          <w:bCs/>
        </w:rPr>
        <w:t xml:space="preserve"> </w:t>
      </w:r>
      <w:proofErr w:type="spellStart"/>
      <w:r w:rsidRPr="000855FE">
        <w:rPr>
          <w:bCs/>
        </w:rPr>
        <w:t>Water</w:t>
      </w:r>
      <w:proofErr w:type="spellEnd"/>
      <w:r w:rsidRPr="000855FE">
        <w:rPr>
          <w:bCs/>
        </w:rPr>
        <w:t xml:space="preserve"> </w:t>
      </w:r>
      <w:proofErr w:type="spellStart"/>
      <w:r w:rsidRPr="000855FE">
        <w:rPr>
          <w:bCs/>
        </w:rPr>
        <w:t>Vapor</w:t>
      </w:r>
      <w:proofErr w:type="spellEnd"/>
      <w:r w:rsidRPr="000855FE">
        <w:rPr>
          <w:bCs/>
        </w:rPr>
        <w:t xml:space="preserve">, standartas </w:t>
      </w:r>
      <w:proofErr w:type="spellStart"/>
      <w:r w:rsidRPr="000855FE">
        <w:rPr>
          <w:bCs/>
        </w:rPr>
        <w:t>Recy</w:t>
      </w:r>
      <w:proofErr w:type="spellEnd"/>
      <w:r>
        <w:rPr>
          <w:bCs/>
        </w:rPr>
        <w:t xml:space="preserve"> </w:t>
      </w:r>
      <w:proofErr w:type="spellStart"/>
      <w:r w:rsidRPr="000855FE">
        <w:rPr>
          <w:bCs/>
        </w:rPr>
        <w:t>Class</w:t>
      </w:r>
      <w:proofErr w:type="spellEnd"/>
      <w:r w:rsidRPr="000855FE">
        <w:rPr>
          <w:bCs/>
        </w:rPr>
        <w:t xml:space="preserve"> ar kitas lygiavertis standartas, arba;</w:t>
      </w:r>
    </w:p>
    <w:p w:rsidR="00F44423" w:rsidRPr="000855FE" w:rsidRDefault="00F44423" w:rsidP="00CC3EFF">
      <w:pPr>
        <w:spacing w:line="276" w:lineRule="auto"/>
        <w:ind w:firstLine="1247"/>
        <w:jc w:val="both"/>
        <w:rPr>
          <w:bCs/>
        </w:rPr>
      </w:pPr>
      <w:r>
        <w:t>8</w:t>
      </w:r>
      <w:r w:rsidRPr="000855FE">
        <w:t xml:space="preserve">.3. </w:t>
      </w:r>
      <w:r w:rsidRPr="000855FE">
        <w:rPr>
          <w:bCs/>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p>
    <w:p w:rsidR="00F44423" w:rsidRPr="0052161F" w:rsidRDefault="00F44423" w:rsidP="00CC3EFF">
      <w:pPr>
        <w:spacing w:line="276" w:lineRule="auto"/>
        <w:ind w:firstLine="1247"/>
        <w:jc w:val="both"/>
        <w:rPr>
          <w:b/>
          <w:lang w:eastAsia="lt-LT"/>
        </w:rPr>
      </w:pPr>
      <w:r>
        <w:lastRenderedPageBreak/>
        <w:t>8</w:t>
      </w:r>
      <w:r w:rsidRPr="000855FE">
        <w:t xml:space="preserve">.4. </w:t>
      </w:r>
      <w:r w:rsidRPr="000855FE">
        <w:rPr>
          <w:bCs/>
        </w:rPr>
        <w:t>kiti lygiaverčiai įrodymai</w:t>
      </w:r>
      <w:r w:rsidRPr="0052161F">
        <w:rPr>
          <w:b/>
          <w:bCs/>
        </w:rPr>
        <w:t>.</w:t>
      </w:r>
      <w:bookmarkEnd w:id="3"/>
      <w:r w:rsidRPr="0052161F">
        <w:rPr>
          <w:b/>
          <w:bCs/>
        </w:rPr>
        <w:t xml:space="preserve"> </w:t>
      </w:r>
      <w:r w:rsidRPr="0052161F">
        <w:rPr>
          <w:b/>
          <w:lang w:eastAsia="lt-LT"/>
        </w:rPr>
        <w:t xml:space="preserve">Tiekėjas kartu su lovomis turės pateikti atitiktį įrodančius dokumentus. </w:t>
      </w:r>
    </w:p>
    <w:p w:rsidR="00F44423" w:rsidRPr="00E80C25" w:rsidRDefault="00F44423" w:rsidP="00CC3EFF">
      <w:pPr>
        <w:spacing w:line="276" w:lineRule="auto"/>
        <w:ind w:firstLine="1247"/>
        <w:jc w:val="both"/>
        <w:rPr>
          <w:bCs/>
        </w:rPr>
      </w:pPr>
      <w:r>
        <w:rPr>
          <w:bCs/>
          <w:color w:val="000000" w:themeColor="text1"/>
        </w:rPr>
        <w:t>9</w:t>
      </w:r>
      <w:r w:rsidRPr="00E80C25">
        <w:rPr>
          <w:bCs/>
          <w:color w:val="000000" w:themeColor="text1"/>
        </w:rPr>
        <w:t>. Visos siūlomos lovos turi būti naujos, nenaudotos, pristatomos originaliame gamykliniame įpakavime (jei toks yra).</w:t>
      </w:r>
    </w:p>
    <w:p w:rsidR="00F44423" w:rsidRDefault="00A5428D" w:rsidP="00CC3EFF">
      <w:pPr>
        <w:tabs>
          <w:tab w:val="left" w:pos="1134"/>
        </w:tabs>
        <w:spacing w:line="276" w:lineRule="auto"/>
        <w:jc w:val="both"/>
        <w:rPr>
          <w:bCs/>
          <w:color w:val="000000" w:themeColor="text1"/>
        </w:rPr>
      </w:pPr>
      <w:r>
        <w:rPr>
          <w:bCs/>
          <w:color w:val="000000" w:themeColor="text1"/>
        </w:rPr>
        <w:tab/>
      </w:r>
      <w:bookmarkStart w:id="4" w:name="_GoBack"/>
      <w:bookmarkEnd w:id="4"/>
      <w:r w:rsidR="00F44423" w:rsidRPr="00E80C25">
        <w:rPr>
          <w:bCs/>
          <w:color w:val="000000" w:themeColor="text1"/>
        </w:rPr>
        <w:t>1</w:t>
      </w:r>
      <w:r w:rsidR="00F44423">
        <w:rPr>
          <w:bCs/>
          <w:color w:val="000000" w:themeColor="text1"/>
        </w:rPr>
        <w:t>0</w:t>
      </w:r>
      <w:r w:rsidR="00F44423" w:rsidRPr="00E80C25">
        <w:rPr>
          <w:bCs/>
          <w:color w:val="000000" w:themeColor="text1"/>
        </w:rPr>
        <w:t>.</w:t>
      </w:r>
      <w:r w:rsidR="00F44423">
        <w:rPr>
          <w:bCs/>
          <w:color w:val="000000" w:themeColor="text1"/>
        </w:rPr>
        <w:t xml:space="preserve"> </w:t>
      </w:r>
      <w:r w:rsidR="00F44423" w:rsidRPr="00E80C25">
        <w:rPr>
          <w:bCs/>
          <w:color w:val="000000" w:themeColor="text1"/>
        </w:rPr>
        <w:t>Į visus siūlomų lovų komplektus turi įeiti visos sudedamosios dalys bei medžiagos, reikalingos užtikrinant normalų Prekių funkcionavimą.</w:t>
      </w:r>
    </w:p>
    <w:p w:rsidR="00F44423" w:rsidRDefault="00F44423" w:rsidP="00CC3EFF">
      <w:pPr>
        <w:tabs>
          <w:tab w:val="left" w:pos="1134"/>
        </w:tabs>
        <w:spacing w:line="276" w:lineRule="auto"/>
        <w:jc w:val="both"/>
        <w:rPr>
          <w:bCs/>
          <w:color w:val="000000" w:themeColor="text1"/>
        </w:rPr>
      </w:pPr>
    </w:p>
    <w:p w:rsidR="00F44423" w:rsidRDefault="00F44423" w:rsidP="00CC3EFF">
      <w:pPr>
        <w:tabs>
          <w:tab w:val="left" w:pos="1134"/>
        </w:tabs>
        <w:spacing w:line="276" w:lineRule="auto"/>
        <w:rPr>
          <w:bCs/>
          <w:color w:val="000000" w:themeColor="text1"/>
        </w:rPr>
      </w:pPr>
    </w:p>
    <w:p w:rsidR="00F44423" w:rsidRDefault="00F44423" w:rsidP="00CC3EFF">
      <w:pPr>
        <w:tabs>
          <w:tab w:val="left" w:pos="1134"/>
        </w:tabs>
        <w:spacing w:line="276" w:lineRule="auto"/>
        <w:jc w:val="both"/>
        <w:rPr>
          <w:bCs/>
          <w:color w:val="000000" w:themeColor="text1"/>
        </w:rPr>
      </w:pPr>
      <w:r w:rsidRPr="005C5BB4">
        <w:rPr>
          <w:b/>
          <w:bCs/>
          <w:color w:val="000000" w:themeColor="text1"/>
        </w:rPr>
        <w:t>*PASTABA.</w:t>
      </w:r>
      <w:r>
        <w:rPr>
          <w:bCs/>
          <w:color w:val="000000" w:themeColor="text1"/>
        </w:rPr>
        <w:t xml:space="preserve"> Šis reikalavimas taikomas tik tada, kai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nurodytos </w:t>
      </w:r>
      <w:r w:rsidR="00384CB7">
        <w:rPr>
          <w:bCs/>
          <w:color w:val="000000" w:themeColor="text1"/>
        </w:rPr>
        <w:t>1</w:t>
      </w:r>
      <w:r>
        <w:rPr>
          <w:bCs/>
          <w:color w:val="000000" w:themeColor="text1"/>
        </w:rPr>
        <w:t xml:space="preserve"> lentelėje. </w:t>
      </w:r>
    </w:p>
    <w:p w:rsidR="00F44423" w:rsidRDefault="00F44423" w:rsidP="00CC3EFF">
      <w:pPr>
        <w:tabs>
          <w:tab w:val="left" w:pos="1134"/>
        </w:tabs>
        <w:spacing w:line="276" w:lineRule="auto"/>
        <w:rPr>
          <w:bCs/>
          <w:color w:val="000000" w:themeColor="text1"/>
        </w:rPr>
      </w:pPr>
    </w:p>
    <w:p w:rsidR="00F44423" w:rsidRDefault="00F44423" w:rsidP="00CC3EFF">
      <w:pPr>
        <w:tabs>
          <w:tab w:val="left" w:pos="6924"/>
        </w:tabs>
        <w:spacing w:line="276" w:lineRule="auto"/>
        <w:jc w:val="center"/>
        <w:rPr>
          <w:lang w:eastAsia="lt-LT"/>
        </w:rPr>
      </w:pPr>
    </w:p>
    <w:p w:rsidR="00CD3644" w:rsidRDefault="00CD3644" w:rsidP="00CC3EFF">
      <w:pPr>
        <w:tabs>
          <w:tab w:val="left" w:pos="6924"/>
        </w:tabs>
        <w:spacing w:line="276" w:lineRule="auto"/>
        <w:jc w:val="center"/>
        <w:rPr>
          <w:lang w:eastAsia="lt-LT"/>
        </w:rPr>
      </w:pPr>
      <w:r>
        <w:rPr>
          <w:lang w:eastAsia="lt-LT"/>
        </w:rPr>
        <w:t>_______________________</w:t>
      </w:r>
    </w:p>
    <w:p w:rsidR="00E2325E" w:rsidRDefault="00E2325E" w:rsidP="00CC3EFF">
      <w:pPr>
        <w:spacing w:line="276" w:lineRule="auto"/>
      </w:pPr>
    </w:p>
    <w:sectPr w:rsidR="00E2325E">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A6E" w:rsidRDefault="00463A6E" w:rsidP="00463A6E">
      <w:r>
        <w:separator/>
      </w:r>
    </w:p>
  </w:endnote>
  <w:endnote w:type="continuationSeparator" w:id="0">
    <w:p w:rsidR="00463A6E" w:rsidRDefault="00463A6E" w:rsidP="0046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A6E" w:rsidRDefault="00463A6E" w:rsidP="00463A6E">
      <w:r>
        <w:separator/>
      </w:r>
    </w:p>
  </w:footnote>
  <w:footnote w:type="continuationSeparator" w:id="0">
    <w:p w:rsidR="00463A6E" w:rsidRDefault="00463A6E" w:rsidP="00463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A6E" w:rsidRPr="00463A6E" w:rsidRDefault="00463A6E" w:rsidP="00463A6E">
    <w:pPr>
      <w:pStyle w:val="Antrats"/>
      <w:jc w:val="center"/>
      <w:rPr>
        <w:b/>
      </w:rPr>
    </w:pPr>
    <w:r w:rsidRPr="00463A6E">
      <w:rPr>
        <w:b/>
      </w:rPr>
      <w:t>Patikslintos techninės specifikacijos 2025-10-15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A775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23"/>
    <w:rsid w:val="00384CB7"/>
    <w:rsid w:val="00461E73"/>
    <w:rsid w:val="00463A6E"/>
    <w:rsid w:val="00501B1E"/>
    <w:rsid w:val="00666E74"/>
    <w:rsid w:val="00916E97"/>
    <w:rsid w:val="00A5428D"/>
    <w:rsid w:val="00AB754D"/>
    <w:rsid w:val="00CC3EFF"/>
    <w:rsid w:val="00CC4445"/>
    <w:rsid w:val="00CD3644"/>
    <w:rsid w:val="00E2325E"/>
    <w:rsid w:val="00F444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4EF139"/>
  <w15:chartTrackingRefBased/>
  <w15:docId w15:val="{89786666-50C7-4283-BFCA-459DFC2D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4442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4442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F44423"/>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qFormat/>
    <w:rsid w:val="00F44423"/>
    <w:rPr>
      <w:rFonts w:ascii="Times New Roman" w:eastAsia="Calibri" w:hAnsi="Times New Roman" w:cs="Times New Roman"/>
      <w:sz w:val="24"/>
    </w:rPr>
  </w:style>
  <w:style w:type="paragraph" w:styleId="Antrats">
    <w:name w:val="header"/>
    <w:basedOn w:val="prastasis"/>
    <w:link w:val="AntratsDiagrama"/>
    <w:uiPriority w:val="99"/>
    <w:unhideWhenUsed/>
    <w:rsid w:val="00463A6E"/>
    <w:pPr>
      <w:tabs>
        <w:tab w:val="center" w:pos="4819"/>
        <w:tab w:val="right" w:pos="9638"/>
      </w:tabs>
    </w:pPr>
  </w:style>
  <w:style w:type="character" w:customStyle="1" w:styleId="AntratsDiagrama">
    <w:name w:val="Antraštės Diagrama"/>
    <w:basedOn w:val="Numatytasispastraiposriftas"/>
    <w:link w:val="Antrats"/>
    <w:uiPriority w:val="99"/>
    <w:rsid w:val="00463A6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463A6E"/>
    <w:pPr>
      <w:tabs>
        <w:tab w:val="center" w:pos="4819"/>
        <w:tab w:val="right" w:pos="9638"/>
      </w:tabs>
    </w:pPr>
  </w:style>
  <w:style w:type="character" w:customStyle="1" w:styleId="PoratDiagrama">
    <w:name w:val="Poraštė Diagrama"/>
    <w:basedOn w:val="Numatytasispastraiposriftas"/>
    <w:link w:val="Porat"/>
    <w:uiPriority w:val="99"/>
    <w:rsid w:val="00463A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3712</Words>
  <Characters>2116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Urbonavičienė</dc:creator>
  <cp:keywords/>
  <dc:description/>
  <cp:lastModifiedBy>Erika Urbonavičienė</cp:lastModifiedBy>
  <cp:revision>10</cp:revision>
  <dcterms:created xsi:type="dcterms:W3CDTF">2025-10-15T11:42:00Z</dcterms:created>
  <dcterms:modified xsi:type="dcterms:W3CDTF">2025-10-15T13:05:00Z</dcterms:modified>
</cp:coreProperties>
</file>