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D152" w14:textId="2454AB39" w:rsidR="00CE5EC7" w:rsidRPr="00717578" w:rsidRDefault="00A75D44" w:rsidP="00B53703">
      <w:pPr>
        <w:pStyle w:val="Heading2"/>
        <w:rPr>
          <w:sz w:val="22"/>
        </w:rPr>
      </w:pPr>
      <w:r w:rsidRPr="00717578">
        <w:rPr>
          <w:sz w:val="22"/>
        </w:rPr>
        <w:t xml:space="preserve">MICROSOFT </w:t>
      </w:r>
      <w:r w:rsidR="00741F18" w:rsidRPr="00717578">
        <w:rPr>
          <w:sz w:val="22"/>
        </w:rPr>
        <w:t xml:space="preserve">LICENCIJOS </w:t>
      </w:r>
      <w:r w:rsidR="001A66A7" w:rsidRPr="00717578">
        <w:rPr>
          <w:sz w:val="22"/>
        </w:rPr>
        <w:t>ARBA LYGIAVERTĖS</w:t>
      </w:r>
      <w:r w:rsidRPr="00717578">
        <w:rPr>
          <w:sz w:val="22"/>
        </w:rPr>
        <w:t xml:space="preserve"> </w:t>
      </w:r>
    </w:p>
    <w:p w14:paraId="0E22D7CF" w14:textId="140217D4" w:rsidR="002A7375" w:rsidRPr="00717578" w:rsidRDefault="00105F18" w:rsidP="00E8303B">
      <w:pPr>
        <w:pStyle w:val="Heading2"/>
        <w:rPr>
          <w:sz w:val="22"/>
        </w:rPr>
      </w:pPr>
      <w:r w:rsidRPr="00717578">
        <w:rPr>
          <w:sz w:val="22"/>
        </w:rPr>
        <w:t>TECHNINĖ SPECIFIKACIJA</w:t>
      </w:r>
    </w:p>
    <w:p w14:paraId="48F6AA36" w14:textId="77777777" w:rsidR="00B53703" w:rsidRPr="00717578" w:rsidRDefault="00B53703" w:rsidP="00B53703">
      <w:pPr>
        <w:rPr>
          <w:rFonts w:ascii="Tahoma" w:hAnsi="Tahoma"/>
        </w:rPr>
      </w:pPr>
    </w:p>
    <w:p w14:paraId="69BDCA3B" w14:textId="77777777" w:rsidR="00545822" w:rsidRPr="001A66A7" w:rsidRDefault="00545822" w:rsidP="00ED440F">
      <w:pPr>
        <w:jc w:val="center"/>
        <w:rPr>
          <w:rFonts w:ascii="Tahoma" w:hAnsi="Tahoma"/>
        </w:rPr>
      </w:pPr>
    </w:p>
    <w:p w14:paraId="1CA37764" w14:textId="19220ED6" w:rsidR="00E8303B" w:rsidRPr="001A66A7" w:rsidRDefault="00ED440F" w:rsidP="00A75D44">
      <w:pPr>
        <w:pStyle w:val="Heading1"/>
      </w:pPr>
      <w:r w:rsidRPr="001A66A7">
        <w:t>BENDROSIOS NUOSTATOS</w:t>
      </w:r>
    </w:p>
    <w:p w14:paraId="03659890" w14:textId="10DCD2D0" w:rsidR="001D46FE" w:rsidRDefault="50C3B4F4"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rPr>
      </w:pPr>
      <w:r w:rsidRPr="001A66A7">
        <w:rPr>
          <w:rFonts w:ascii="Tahoma" w:hAnsi="Tahoma"/>
        </w:rPr>
        <w:t>Pirkimo objektas –</w:t>
      </w:r>
      <w:r w:rsidR="50C2A95C" w:rsidRPr="001A66A7">
        <w:rPr>
          <w:rFonts w:ascii="Tahoma" w:hAnsi="Tahoma"/>
        </w:rPr>
        <w:t xml:space="preserve"> </w:t>
      </w:r>
      <w:r w:rsidR="6D7D10D4" w:rsidRPr="001A66A7">
        <w:rPr>
          <w:rFonts w:ascii="Tahoma" w:hAnsi="Tahoma"/>
        </w:rPr>
        <w:t>p</w:t>
      </w:r>
      <w:r w:rsidR="50C2A95C" w:rsidRPr="001A66A7">
        <w:rPr>
          <w:rFonts w:ascii="Tahoma" w:hAnsi="Tahoma"/>
        </w:rPr>
        <w:t xml:space="preserve">rograminės įrangos </w:t>
      </w:r>
      <w:r w:rsidR="006B1CA5" w:rsidRPr="001A66A7">
        <w:rPr>
          <w:rFonts w:ascii="Tahoma" w:hAnsi="Tahoma"/>
        </w:rPr>
        <w:t xml:space="preserve">Microsoft </w:t>
      </w:r>
      <w:sdt>
        <w:sdtPr>
          <w:rPr>
            <w:rFonts w:ascii="Tahoma" w:hAnsi="Tahoma"/>
          </w:rPr>
          <w:id w:val="477807883"/>
          <w:placeholder>
            <w:docPart w:val="DefaultPlaceholder_-1854013439"/>
          </w:placeholder>
          <w:dropDownList>
            <w:listItem w:displayText="Pasirinkite iš sąrašo" w:value="Pasirinkite iš sąrašo"/>
            <w:listItem w:displayText="licencijos" w:value="licencijos"/>
            <w:listItem w:displayText="prenumerata" w:value="prenumerata"/>
            <w:listItem w:displayText="licencijų prenumerata" w:value="licencijų prenumerata"/>
            <w:listItem w:displayText="licencijų prenumetos pratęsimas" w:value="licencijų prenumetos pratęsimas"/>
            <w:listItem w:displayText="licencijos su palaikymu" w:value="licencijos su palaikymu"/>
            <w:listItem w:displayText="licencijų palaikymo pratęsimas" w:value="licencijų palaikymo pratęsimas"/>
          </w:dropDownList>
        </w:sdtPr>
        <w:sdtContent>
          <w:r w:rsidR="001A66A7" w:rsidRPr="001A66A7">
            <w:rPr>
              <w:rFonts w:ascii="Tahoma" w:hAnsi="Tahoma"/>
            </w:rPr>
            <w:t>licencijos</w:t>
          </w:r>
        </w:sdtContent>
      </w:sdt>
      <w:r w:rsidR="50C2A95C" w:rsidRPr="001A66A7">
        <w:rPr>
          <w:rFonts w:ascii="Tahoma" w:hAnsi="Tahoma"/>
        </w:rPr>
        <w:t xml:space="preserve"> arba lygiavertės (toliau – </w:t>
      </w:r>
      <w:r w:rsidR="001A66A7" w:rsidRPr="001A66A7">
        <w:rPr>
          <w:rFonts w:ascii="Tahoma" w:hAnsi="Tahoma"/>
        </w:rPr>
        <w:t>licencijos</w:t>
      </w:r>
      <w:r w:rsidR="50C2A95C" w:rsidRPr="001A66A7">
        <w:rPr>
          <w:rFonts w:ascii="Tahoma" w:hAnsi="Tahoma"/>
        </w:rPr>
        <w:t>).</w:t>
      </w:r>
    </w:p>
    <w:p w14:paraId="7D46FA6C" w14:textId="5DE8547B" w:rsidR="006A2661" w:rsidRDefault="006A2661"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rPr>
      </w:pPr>
      <w:r w:rsidRPr="001A66A7">
        <w:rPr>
          <w:rFonts w:ascii="Tahoma" w:hAnsi="Tahoma"/>
        </w:rPr>
        <w:t>Valstybės įm</w:t>
      </w:r>
      <w:r w:rsidR="00B8639F" w:rsidRPr="001A66A7">
        <w:rPr>
          <w:rFonts w:ascii="Tahoma" w:hAnsi="Tahoma"/>
        </w:rPr>
        <w:t>onė Registrų centras (toliau – P</w:t>
      </w:r>
      <w:r w:rsidRPr="001A66A7">
        <w:rPr>
          <w:rFonts w:ascii="Tahoma" w:hAnsi="Tahoma"/>
        </w:rPr>
        <w:t xml:space="preserve">erkančioji organizacija) </w:t>
      </w:r>
      <w:r w:rsidR="006B1CA5" w:rsidRPr="001A66A7">
        <w:rPr>
          <w:rFonts w:ascii="Tahoma" w:hAnsi="Tahoma"/>
        </w:rPr>
        <w:t>naudoja Microsoft licencij</w:t>
      </w:r>
      <w:r w:rsidR="00523541">
        <w:rPr>
          <w:rFonts w:ascii="Tahoma" w:hAnsi="Tahoma"/>
        </w:rPr>
        <w:t>as</w:t>
      </w:r>
      <w:r w:rsidR="002727AB" w:rsidRPr="001A66A7">
        <w:rPr>
          <w:rFonts w:ascii="Tahoma" w:hAnsi="Tahoma"/>
        </w:rPr>
        <w:t xml:space="preserve"> </w:t>
      </w:r>
      <w:r w:rsidR="006B1CA5" w:rsidRPr="001A66A7">
        <w:rPr>
          <w:rFonts w:ascii="Tahoma" w:hAnsi="Tahoma"/>
        </w:rPr>
        <w:t>kurių galiojimas baigiasi 202</w:t>
      </w:r>
      <w:r w:rsidR="00523541">
        <w:rPr>
          <w:rFonts w:ascii="Tahoma" w:hAnsi="Tahoma"/>
        </w:rPr>
        <w:t>6</w:t>
      </w:r>
      <w:r w:rsidR="00A75D44" w:rsidRPr="001A66A7">
        <w:rPr>
          <w:rFonts w:ascii="Tahoma" w:hAnsi="Tahoma"/>
        </w:rPr>
        <w:t>-04-30</w:t>
      </w:r>
      <w:r w:rsidR="006B1CA5" w:rsidRPr="001A66A7">
        <w:rPr>
          <w:rFonts w:ascii="Tahoma" w:hAnsi="Tahoma"/>
        </w:rPr>
        <w:t>.</w:t>
      </w:r>
    </w:p>
    <w:p w14:paraId="5797295F" w14:textId="77777777" w:rsidR="005146FD" w:rsidRPr="00D0171C" w:rsidRDefault="005146FD" w:rsidP="005146FD">
      <w:pPr>
        <w:pStyle w:val="ListParagraph"/>
        <w:numPr>
          <w:ilvl w:val="0"/>
          <w:numId w:val="15"/>
        </w:numPr>
        <w:tabs>
          <w:tab w:val="clear" w:pos="851"/>
        </w:tabs>
        <w:autoSpaceDE w:val="0"/>
        <w:autoSpaceDN w:val="0"/>
        <w:adjustRightInd w:val="0"/>
        <w:spacing w:line="276" w:lineRule="auto"/>
        <w:ind w:left="0" w:firstLine="851"/>
        <w:rPr>
          <w:rFonts w:ascii="Tahoma" w:hAnsi="Tahoma"/>
        </w:rPr>
      </w:pPr>
      <w:r w:rsidRPr="00D0171C">
        <w:rPr>
          <w:rFonts w:ascii="Tahoma" w:hAnsi="Tahoma"/>
        </w:rPr>
        <w:t>Tiekėjai, siūlantys lygiaverčius sprendimus, turi užtikrinti, kad jų siūlom</w:t>
      </w:r>
      <w:r>
        <w:rPr>
          <w:rFonts w:ascii="Tahoma" w:hAnsi="Tahoma"/>
        </w:rPr>
        <w:t>a</w:t>
      </w:r>
      <w:r w:rsidRPr="00D0171C">
        <w:rPr>
          <w:rFonts w:ascii="Tahoma" w:hAnsi="Tahoma"/>
        </w:rPr>
        <w:t xml:space="preserve"> </w:t>
      </w:r>
      <w:r>
        <w:rPr>
          <w:rFonts w:ascii="Tahoma" w:hAnsi="Tahoma"/>
        </w:rPr>
        <w:t>Prekė</w:t>
      </w:r>
      <w:r w:rsidRPr="00D0171C">
        <w:rPr>
          <w:rFonts w:ascii="Tahoma" w:hAnsi="Tahoma"/>
        </w:rPr>
        <w:t>:</w:t>
      </w:r>
    </w:p>
    <w:p w14:paraId="5D1B02D8" w14:textId="5F3B3601" w:rsidR="005146FD"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sidRPr="005146FD">
        <w:rPr>
          <w:rFonts w:ascii="Tahoma" w:hAnsi="Tahoma"/>
        </w:rPr>
        <w:t xml:space="preserve">Turėtų analogišką licencijų valdymo portalą, kuris leistų atlikti tas pačias funkcijas kaip Microsoft licencijų valdymo portalas (nurodytas </w:t>
      </w:r>
      <w:r>
        <w:rPr>
          <w:rFonts w:ascii="Tahoma" w:hAnsi="Tahoma"/>
        </w:rPr>
        <w:t>5</w:t>
      </w:r>
      <w:r w:rsidRPr="005146FD">
        <w:rPr>
          <w:rFonts w:ascii="Tahoma" w:hAnsi="Tahoma"/>
        </w:rPr>
        <w:t xml:space="preserve"> punkte), įskaitant licencijų priskyrimą vartotojams, aktyvavimą, ataskaitų generavimą ir galiojimo stebėseną</w:t>
      </w:r>
      <w:r>
        <w:rPr>
          <w:rFonts w:ascii="Tahoma" w:hAnsi="Tahoma"/>
        </w:rPr>
        <w:t>.</w:t>
      </w:r>
    </w:p>
    <w:p w14:paraId="7048F06F" w14:textId="77777777" w:rsidR="005146FD"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sidRPr="005146FD">
        <w:rPr>
          <w:rFonts w:ascii="Tahoma" w:hAnsi="Tahoma"/>
        </w:rPr>
        <w:t>Būtų suderinama su įranga, naudojama su Windows operacine sistema, užtikrinant pilną funkcionalumą ir integraciją</w:t>
      </w:r>
      <w:r>
        <w:rPr>
          <w:rFonts w:ascii="Tahoma" w:hAnsi="Tahoma"/>
        </w:rPr>
        <w:t>.</w:t>
      </w:r>
    </w:p>
    <w:p w14:paraId="393CB59B" w14:textId="77777777" w:rsidR="005146FD" w:rsidRPr="00D0171C"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Pr>
          <w:rFonts w:ascii="Tahoma" w:hAnsi="Tahoma"/>
        </w:rPr>
        <w:t>U</w:t>
      </w:r>
      <w:r w:rsidRPr="00D0171C">
        <w:rPr>
          <w:rFonts w:ascii="Tahoma" w:hAnsi="Tahoma"/>
        </w:rPr>
        <w:t>žtikrintų aukštą pasiekiamumą, patikimumą ir duomenų vientisumą</w:t>
      </w:r>
      <w:r>
        <w:rPr>
          <w:rFonts w:ascii="Tahoma" w:hAnsi="Tahoma"/>
        </w:rPr>
        <w:t>.</w:t>
      </w:r>
    </w:p>
    <w:p w14:paraId="0ACC3843" w14:textId="03AD5A5B" w:rsidR="005146FD" w:rsidRPr="005146FD"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sidRPr="005146FD">
        <w:rPr>
          <w:rFonts w:ascii="Tahoma" w:hAnsi="Tahoma"/>
        </w:rPr>
        <w:t>Turėtų viešai prieinamą techninę dokumentaciją, kuri leistų objektyviai įvertinti siūlomo sprendimo techninį lygiavertiškumą Microsoft licencijoms.</w:t>
      </w:r>
    </w:p>
    <w:p w14:paraId="3B8E8ADE" w14:textId="50FB55D9" w:rsidR="009079CC" w:rsidRDefault="00B8639F" w:rsidP="5DEE1A7B">
      <w:pPr>
        <w:pStyle w:val="ListParagraph"/>
        <w:numPr>
          <w:ilvl w:val="0"/>
          <w:numId w:val="15"/>
        </w:numPr>
        <w:spacing w:line="276" w:lineRule="auto"/>
        <w:ind w:left="0" w:firstLine="851"/>
        <w:rPr>
          <w:rFonts w:ascii="Tahoma" w:hAnsi="Tahoma"/>
        </w:rPr>
      </w:pPr>
      <w:r w:rsidRPr="001A66A7">
        <w:rPr>
          <w:rFonts w:ascii="Tahoma" w:hAnsi="Tahoma"/>
        </w:rPr>
        <w:t>Prekių</w:t>
      </w:r>
      <w:r w:rsidR="005A50C5" w:rsidRPr="00717578">
        <w:rPr>
          <w:rFonts w:ascii="Tahoma" w:hAnsi="Tahoma"/>
          <w:i/>
          <w:iCs/>
        </w:rPr>
        <w:t xml:space="preserve"> </w:t>
      </w:r>
      <w:r w:rsidR="00D92EE6" w:rsidRPr="001A66A7">
        <w:rPr>
          <w:rFonts w:ascii="Tahoma" w:hAnsi="Tahoma"/>
        </w:rPr>
        <w:t xml:space="preserve">pristatymo </w:t>
      </w:r>
      <w:r w:rsidR="00E26891" w:rsidRPr="001A66A7">
        <w:rPr>
          <w:rFonts w:ascii="Tahoma" w:hAnsi="Tahoma"/>
        </w:rPr>
        <w:t xml:space="preserve">vieta – </w:t>
      </w:r>
      <w:r w:rsidR="006B1CA5" w:rsidRPr="001A66A7">
        <w:rPr>
          <w:rFonts w:ascii="Tahoma" w:hAnsi="Tahoma"/>
        </w:rPr>
        <w:t xml:space="preserve">Tiekėjas licencijas turi </w:t>
      </w:r>
      <w:r w:rsidR="00F420A4">
        <w:rPr>
          <w:rFonts w:ascii="Tahoma" w:hAnsi="Tahoma"/>
        </w:rPr>
        <w:t>persi</w:t>
      </w:r>
      <w:r w:rsidR="00717578">
        <w:rPr>
          <w:rFonts w:ascii="Tahoma" w:hAnsi="Tahoma"/>
        </w:rPr>
        <w:t>ų</w:t>
      </w:r>
      <w:r w:rsidR="00F420A4">
        <w:rPr>
          <w:rFonts w:ascii="Tahoma" w:hAnsi="Tahoma"/>
        </w:rPr>
        <w:t>sti</w:t>
      </w:r>
      <w:r w:rsidR="00F420A4" w:rsidRPr="001A66A7">
        <w:rPr>
          <w:rFonts w:ascii="Tahoma" w:hAnsi="Tahoma"/>
        </w:rPr>
        <w:t xml:space="preserve"> </w:t>
      </w:r>
      <w:r w:rsidR="006B1CA5" w:rsidRPr="001A66A7">
        <w:rPr>
          <w:rFonts w:ascii="Tahoma" w:hAnsi="Tahoma"/>
        </w:rPr>
        <w:t xml:space="preserve">į Perkančiosios organizacijos naudojamą Microsoft licencijų </w:t>
      </w:r>
      <w:r w:rsidR="005146FD">
        <w:rPr>
          <w:rFonts w:ascii="Tahoma" w:hAnsi="Tahoma"/>
        </w:rPr>
        <w:t xml:space="preserve">arba lygiavertį </w:t>
      </w:r>
      <w:r w:rsidR="006B1CA5" w:rsidRPr="001A66A7">
        <w:rPr>
          <w:rFonts w:ascii="Tahoma" w:hAnsi="Tahoma"/>
        </w:rPr>
        <w:t>valdymo portalą.</w:t>
      </w:r>
    </w:p>
    <w:p w14:paraId="3D125341" w14:textId="7FFE1342" w:rsidR="00523541" w:rsidRDefault="00523541" w:rsidP="5DEE1A7B">
      <w:pPr>
        <w:pStyle w:val="ListParagraph"/>
        <w:numPr>
          <w:ilvl w:val="0"/>
          <w:numId w:val="15"/>
        </w:numPr>
        <w:spacing w:line="276" w:lineRule="auto"/>
        <w:ind w:left="0" w:firstLine="851"/>
        <w:rPr>
          <w:rFonts w:ascii="Tahoma" w:hAnsi="Tahoma"/>
        </w:rPr>
      </w:pPr>
      <w:r w:rsidRPr="00523541">
        <w:rPr>
          <w:rFonts w:ascii="Tahoma" w:hAnsi="Tahoma"/>
          <w:lang w:eastAsia="lt-LT"/>
        </w:rPr>
        <w:t xml:space="preserve">Pirmiems sutarties galiojimo metams užsakymas bus pateiktas </w:t>
      </w:r>
      <w:r>
        <w:rPr>
          <w:rFonts w:ascii="Tahoma" w:hAnsi="Tahoma"/>
          <w:lang w:eastAsia="lt-LT"/>
        </w:rPr>
        <w:t>iki 2026-04-01 (</w:t>
      </w:r>
      <w:r w:rsidRPr="001A66A7">
        <w:rPr>
          <w:rFonts w:ascii="Tahoma" w:hAnsi="Tahoma"/>
        </w:rPr>
        <w:t>jeigu sutartis bus sudaryta vėliau nei 202</w:t>
      </w:r>
      <w:r>
        <w:rPr>
          <w:rFonts w:ascii="Tahoma" w:hAnsi="Tahoma"/>
        </w:rPr>
        <w:t>6-04</w:t>
      </w:r>
      <w:r w:rsidRPr="001A66A7">
        <w:rPr>
          <w:rFonts w:ascii="Tahoma" w:hAnsi="Tahoma"/>
        </w:rPr>
        <w:t>-01</w:t>
      </w:r>
      <w:r>
        <w:rPr>
          <w:rFonts w:ascii="Tahoma" w:hAnsi="Tahoma"/>
        </w:rPr>
        <w:t xml:space="preserve"> užsakymas bus pateiktas </w:t>
      </w:r>
      <w:r w:rsidRPr="00523541">
        <w:rPr>
          <w:rFonts w:ascii="Tahoma" w:hAnsi="Tahoma"/>
          <w:lang w:eastAsia="lt-LT"/>
        </w:rPr>
        <w:t>per 5 darbo dienas po sutarties įsigaliojimo nurodant licencijų pavadinimus ir tikslius kiekius</w:t>
      </w:r>
      <w:r>
        <w:rPr>
          <w:rFonts w:ascii="Tahoma" w:hAnsi="Tahoma"/>
          <w:lang w:eastAsia="lt-LT"/>
        </w:rPr>
        <w:t>)</w:t>
      </w:r>
      <w:r w:rsidRPr="00523541">
        <w:rPr>
          <w:rFonts w:ascii="Tahoma" w:hAnsi="Tahoma"/>
          <w:lang w:eastAsia="lt-LT"/>
        </w:rPr>
        <w:t>.</w:t>
      </w:r>
    </w:p>
    <w:p w14:paraId="6262A6A0" w14:textId="531739D4" w:rsidR="00523541" w:rsidRDefault="00523541" w:rsidP="5DEE1A7B">
      <w:pPr>
        <w:pStyle w:val="ListParagraph"/>
        <w:numPr>
          <w:ilvl w:val="0"/>
          <w:numId w:val="15"/>
        </w:numPr>
        <w:spacing w:line="276" w:lineRule="auto"/>
        <w:ind w:left="0" w:firstLine="851"/>
        <w:rPr>
          <w:rFonts w:ascii="Tahoma" w:hAnsi="Tahoma"/>
        </w:rPr>
      </w:pPr>
      <w:r w:rsidRPr="00C165A7">
        <w:rPr>
          <w:rFonts w:ascii="Tahoma" w:hAnsi="Tahoma"/>
          <w:lang w:eastAsia="lt-LT"/>
        </w:rPr>
        <w:t>Antriems ir tretiems sutarties galiojimo metams licencijų nuoma bus užsakoma (nurodomi licencijų pavadinimai ir tikslūs kiekiai) ne vėliau kaip likus 1 mėnesiui iki ankstesnio nuomos laikotarpio pabaigos.</w:t>
      </w:r>
    </w:p>
    <w:p w14:paraId="519D61B8" w14:textId="33F85C1C" w:rsidR="00403160" w:rsidRPr="005C122C" w:rsidRDefault="00523541"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i/>
          <w:iCs/>
        </w:rPr>
      </w:pPr>
      <w:r>
        <w:rPr>
          <w:rFonts w:ascii="Tahoma" w:hAnsi="Tahoma"/>
        </w:rPr>
        <w:t xml:space="preserve">Pirmųjų metų </w:t>
      </w:r>
      <w:r w:rsidR="001A66A7" w:rsidRPr="001A66A7">
        <w:rPr>
          <w:rFonts w:ascii="Tahoma" w:hAnsi="Tahoma"/>
        </w:rPr>
        <w:t>Licencijų</w:t>
      </w:r>
      <w:r w:rsidR="00BE5D23" w:rsidRPr="001A66A7">
        <w:rPr>
          <w:rFonts w:ascii="Tahoma" w:hAnsi="Tahoma"/>
        </w:rPr>
        <w:t xml:space="preserve"> pristatymo terminas –</w:t>
      </w:r>
      <w:r>
        <w:rPr>
          <w:rFonts w:ascii="Tahoma" w:hAnsi="Tahoma"/>
        </w:rPr>
        <w:t xml:space="preserve"> </w:t>
      </w:r>
      <w:r w:rsidR="002727AB" w:rsidRPr="001A66A7">
        <w:rPr>
          <w:rFonts w:ascii="Tahoma" w:hAnsi="Tahoma"/>
        </w:rPr>
        <w:t>l</w:t>
      </w:r>
      <w:r w:rsidR="00403160" w:rsidRPr="001A66A7">
        <w:rPr>
          <w:rFonts w:ascii="Tahoma" w:hAnsi="Tahoma"/>
        </w:rPr>
        <w:t>icencij</w:t>
      </w:r>
      <w:r w:rsidR="002727AB" w:rsidRPr="001A66A7">
        <w:rPr>
          <w:rFonts w:ascii="Tahoma" w:hAnsi="Tahoma"/>
        </w:rPr>
        <w:t>ų</w:t>
      </w:r>
      <w:r w:rsidR="00403160" w:rsidRPr="001A66A7">
        <w:rPr>
          <w:rFonts w:ascii="Tahoma" w:hAnsi="Tahoma"/>
        </w:rPr>
        <w:t xml:space="preserve"> turi įsigalioti </w:t>
      </w:r>
      <w:r w:rsidR="00A75D44" w:rsidRPr="001A66A7">
        <w:rPr>
          <w:rFonts w:ascii="Tahoma" w:hAnsi="Tahoma"/>
        </w:rPr>
        <w:t>nuo 202</w:t>
      </w:r>
      <w:r w:rsidR="00132935">
        <w:rPr>
          <w:rFonts w:ascii="Tahoma" w:hAnsi="Tahoma"/>
        </w:rPr>
        <w:t>6</w:t>
      </w:r>
      <w:r w:rsidR="00A75D44" w:rsidRPr="001A66A7">
        <w:rPr>
          <w:rFonts w:ascii="Tahoma" w:hAnsi="Tahoma"/>
        </w:rPr>
        <w:t>-05-01 (</w:t>
      </w:r>
      <w:r w:rsidR="001A66A7" w:rsidRPr="001A66A7">
        <w:rPr>
          <w:rFonts w:ascii="Tahoma" w:hAnsi="Tahoma"/>
        </w:rPr>
        <w:t>j</w:t>
      </w:r>
      <w:r w:rsidR="00A75D44" w:rsidRPr="001A66A7">
        <w:rPr>
          <w:rFonts w:ascii="Tahoma" w:hAnsi="Tahoma"/>
        </w:rPr>
        <w:t>ei</w:t>
      </w:r>
      <w:r w:rsidR="001A66A7" w:rsidRPr="001A66A7">
        <w:rPr>
          <w:rFonts w:ascii="Tahoma" w:hAnsi="Tahoma"/>
        </w:rPr>
        <w:t>gu</w:t>
      </w:r>
      <w:r w:rsidR="00A75D44" w:rsidRPr="001A66A7">
        <w:rPr>
          <w:rFonts w:ascii="Tahoma" w:hAnsi="Tahoma"/>
        </w:rPr>
        <w:t xml:space="preserve"> sutartis bus sudaryta vėliau nei 202</w:t>
      </w:r>
      <w:r w:rsidR="00132935">
        <w:rPr>
          <w:rFonts w:ascii="Tahoma" w:hAnsi="Tahoma"/>
        </w:rPr>
        <w:t>6</w:t>
      </w:r>
      <w:r w:rsidR="00A75D44" w:rsidRPr="001A66A7">
        <w:rPr>
          <w:rFonts w:ascii="Tahoma" w:hAnsi="Tahoma"/>
        </w:rPr>
        <w:t>-05-01, licencijos turi būti pateiktos</w:t>
      </w:r>
      <w:r w:rsidR="001A66A7" w:rsidRPr="001A66A7">
        <w:rPr>
          <w:rFonts w:ascii="Tahoma" w:hAnsi="Tahoma"/>
        </w:rPr>
        <w:t xml:space="preserve"> Perkančiajai organizacijai</w:t>
      </w:r>
      <w:r w:rsidR="00A75D44" w:rsidRPr="001A66A7">
        <w:rPr>
          <w:rFonts w:ascii="Tahoma" w:hAnsi="Tahoma"/>
        </w:rPr>
        <w:t xml:space="preserve"> per 5 d. d. nuo sutarties </w:t>
      </w:r>
      <w:r w:rsidR="00B073EC">
        <w:rPr>
          <w:rFonts w:ascii="Tahoma" w:hAnsi="Tahoma"/>
        </w:rPr>
        <w:t>įsigaliojimo</w:t>
      </w:r>
      <w:r w:rsidR="00A75D44" w:rsidRPr="001A66A7">
        <w:rPr>
          <w:rFonts w:ascii="Tahoma" w:hAnsi="Tahoma"/>
        </w:rPr>
        <w:t xml:space="preserve"> dienos)</w:t>
      </w:r>
      <w:r w:rsidR="006B1CA5" w:rsidRPr="001A66A7">
        <w:rPr>
          <w:rFonts w:ascii="Tahoma" w:hAnsi="Tahoma"/>
        </w:rPr>
        <w:t>.</w:t>
      </w:r>
    </w:p>
    <w:p w14:paraId="358EF51D" w14:textId="5CE95606" w:rsidR="005C122C" w:rsidRPr="0070711E" w:rsidRDefault="00B519FC"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i/>
          <w:iCs/>
        </w:rPr>
      </w:pPr>
      <w:r>
        <w:rPr>
          <w:rFonts w:ascii="Tahoma" w:hAnsi="Tahoma"/>
        </w:rPr>
        <w:t>P</w:t>
      </w:r>
      <w:r w:rsidR="005C122C" w:rsidRPr="005C122C">
        <w:rPr>
          <w:rFonts w:ascii="Tahoma" w:hAnsi="Tahoma"/>
        </w:rPr>
        <w:t xml:space="preserve">erkančioji organizacija įsipareigoja išpirkti ne mažiau kaip </w:t>
      </w:r>
      <w:r>
        <w:rPr>
          <w:rFonts w:ascii="Tahoma" w:hAnsi="Tahoma"/>
        </w:rPr>
        <w:t>8</w:t>
      </w:r>
      <w:r w:rsidR="005C122C" w:rsidRPr="005C122C">
        <w:rPr>
          <w:rFonts w:ascii="Tahoma" w:hAnsi="Tahoma"/>
        </w:rPr>
        <w:t xml:space="preserve">0 % </w:t>
      </w:r>
      <w:r>
        <w:rPr>
          <w:rFonts w:ascii="Tahoma" w:hAnsi="Tahoma"/>
        </w:rPr>
        <w:t xml:space="preserve">techninėje specifikacijoje </w:t>
      </w:r>
      <w:r w:rsidR="005C122C" w:rsidRPr="005C122C">
        <w:rPr>
          <w:rFonts w:ascii="Tahoma" w:hAnsi="Tahoma"/>
        </w:rPr>
        <w:t>nurodyt</w:t>
      </w:r>
      <w:r>
        <w:rPr>
          <w:rFonts w:ascii="Tahoma" w:hAnsi="Tahoma"/>
        </w:rPr>
        <w:t>ų</w:t>
      </w:r>
      <w:r w:rsidR="005C122C" w:rsidRPr="005C122C">
        <w:rPr>
          <w:rFonts w:ascii="Tahoma" w:hAnsi="Tahoma"/>
        </w:rPr>
        <w:t xml:space="preserve"> </w:t>
      </w:r>
      <w:r>
        <w:rPr>
          <w:rFonts w:ascii="Tahoma" w:hAnsi="Tahoma"/>
        </w:rPr>
        <w:t xml:space="preserve">preliminarių </w:t>
      </w:r>
      <w:r w:rsidR="005C122C" w:rsidRPr="005C122C">
        <w:rPr>
          <w:rFonts w:ascii="Tahoma" w:hAnsi="Tahoma"/>
        </w:rPr>
        <w:t>kieki</w:t>
      </w:r>
      <w:r>
        <w:rPr>
          <w:rFonts w:ascii="Tahoma" w:hAnsi="Tahoma"/>
        </w:rPr>
        <w:t>ų.</w:t>
      </w:r>
    </w:p>
    <w:p w14:paraId="3C710070" w14:textId="21D3DAF9" w:rsidR="0070711E" w:rsidRDefault="0070711E" w:rsidP="00B519FC">
      <w:pPr>
        <w:pStyle w:val="ListParagraph"/>
        <w:numPr>
          <w:ilvl w:val="0"/>
          <w:numId w:val="15"/>
        </w:numPr>
        <w:spacing w:line="276" w:lineRule="auto"/>
        <w:ind w:left="0" w:firstLine="851"/>
        <w:rPr>
          <w:rFonts w:ascii="Tahoma" w:hAnsi="Tahoma"/>
        </w:rPr>
      </w:pPr>
      <w:r w:rsidRPr="0070711E">
        <w:rPr>
          <w:rFonts w:ascii="Tahoma" w:hAnsi="Tahoma"/>
        </w:rPr>
        <w:t>Kiekvieno nuomos laikotarpio metu Perkančioji organizacija turi teisę padidinti licencijų kiekį pagal poreikį. Papildomai įsigytos licencijos turi galioti iki to paties nuomos laikotarpio pabaigos, kaip ir esamos licencijos.</w:t>
      </w:r>
      <w:r w:rsidR="00376FF0" w:rsidRPr="00376FF0">
        <w:t xml:space="preserve"> </w:t>
      </w:r>
      <w:r w:rsidR="00376FF0" w:rsidRPr="00376FF0">
        <w:rPr>
          <w:rFonts w:ascii="Tahoma" w:hAnsi="Tahoma"/>
        </w:rPr>
        <w:t>Licencijų kaina turi būti apskaičiuojama proporcingai pagal likusį galiojimo laiką nuo aktyvavimo dienos iki atitinkamo nuomos laikotarpio pabaigos.</w:t>
      </w:r>
    </w:p>
    <w:p w14:paraId="5E4414B3" w14:textId="4BACBA39" w:rsidR="00B519FC" w:rsidRDefault="00B519FC" w:rsidP="00B519FC">
      <w:pPr>
        <w:pStyle w:val="ListParagraph"/>
        <w:numPr>
          <w:ilvl w:val="0"/>
          <w:numId w:val="15"/>
        </w:numPr>
        <w:spacing w:line="276" w:lineRule="auto"/>
        <w:ind w:left="0" w:firstLine="851"/>
        <w:rPr>
          <w:rFonts w:ascii="Tahoma" w:hAnsi="Tahoma"/>
        </w:rPr>
      </w:pPr>
      <w:r w:rsidRPr="00523541">
        <w:rPr>
          <w:rFonts w:ascii="Tahoma" w:hAnsi="Tahoma"/>
        </w:rPr>
        <w:t>Iškilus poreikiui pirkėjas turi teisę pirkti papildomas, su pirkimo objektu susijusias, techninėje specifikacijoje nurodytų objektų prekes bei techninėje specifikacijoje nenurodytų objektų prekes bei kitas su Microsoft (arba lygiavertėmis) licencijomis susijusias prekes (maksimaliai iki 10 proc.  sutarties vertės be PVM). Ši suma yra įskaičiuojama į maksimalią Sutarties vertę.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488234E2" w14:textId="4D70D5FB" w:rsidR="005C5C9D" w:rsidRPr="005C5C9D" w:rsidRDefault="005C5C9D" w:rsidP="00B519FC">
      <w:pPr>
        <w:pStyle w:val="ListParagraph"/>
        <w:numPr>
          <w:ilvl w:val="0"/>
          <w:numId w:val="15"/>
        </w:numPr>
        <w:spacing w:line="276" w:lineRule="auto"/>
        <w:ind w:left="0" w:firstLine="851"/>
        <w:rPr>
          <w:rFonts w:ascii="Tahoma" w:hAnsi="Tahoma"/>
        </w:rPr>
      </w:pPr>
      <w:r w:rsidRPr="005C5C9D">
        <w:rPr>
          <w:rFonts w:ascii="Tahoma" w:hAnsi="Tahoma"/>
          <w:color w:val="000000" w:themeColor="text1"/>
        </w:rPr>
        <w:t xml:space="preserve">Tiekėjas turi būti autorizuotas Microsoft arba siūlomų lygiaverčių prekių (jei siūloma lygiavertė programinė įranga) gamintojo partneris bei turi Microsoft </w:t>
      </w:r>
      <w:proofErr w:type="spellStart"/>
      <w:r w:rsidRPr="005C5C9D">
        <w:rPr>
          <w:rFonts w:ascii="Tahoma" w:hAnsi="Tahoma"/>
          <w:color w:val="000000" w:themeColor="text1"/>
        </w:rPr>
        <w:t>Licensing</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Solutions</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Partner</w:t>
      </w:r>
      <w:proofErr w:type="spellEnd"/>
      <w:r w:rsidRPr="005C5C9D">
        <w:rPr>
          <w:rFonts w:ascii="Tahoma" w:hAnsi="Tahoma"/>
          <w:color w:val="000000" w:themeColor="text1"/>
        </w:rPr>
        <w:t xml:space="preserve"> (LSP) partnerio statusą arba lygiavertį (jei siūloma lygiavertė programinė įranga) statusą, suteikiantį teisę nuomoti siūlomą programinę įrangą Lietuvoje.</w:t>
      </w:r>
      <w:r w:rsidRPr="005C5C9D">
        <w:rPr>
          <w:rFonts w:ascii="Tahoma" w:hAnsi="Tahoma"/>
          <w:color w:val="000000" w:themeColor="text1"/>
        </w:rPr>
        <w:t xml:space="preserve"> Kartu su pasiūlymu tiekėjas turi pateikti </w:t>
      </w:r>
      <w:r w:rsidRPr="005C5C9D">
        <w:rPr>
          <w:rFonts w:ascii="Tahoma" w:hAnsi="Tahoma"/>
          <w:color w:val="000000" w:themeColor="text1"/>
        </w:rPr>
        <w:t xml:space="preserve">sertifikatus ar </w:t>
      </w:r>
      <w:r w:rsidRPr="005C5C9D">
        <w:rPr>
          <w:rFonts w:ascii="Tahoma" w:hAnsi="Tahoma"/>
          <w:color w:val="000000" w:themeColor="text1"/>
        </w:rPr>
        <w:lastRenderedPageBreak/>
        <w:t xml:space="preserve">kitus dokumentus, įrodančius, kad tiekėjas yra autorizuotas Microsoft arba siūlomų lygiaverčių prekių gamintojo partneris ir turi Microsoft </w:t>
      </w:r>
      <w:proofErr w:type="spellStart"/>
      <w:r w:rsidRPr="005C5C9D">
        <w:rPr>
          <w:rFonts w:ascii="Tahoma" w:hAnsi="Tahoma"/>
          <w:color w:val="000000" w:themeColor="text1"/>
        </w:rPr>
        <w:t>Licensing</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Solutions</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Partner</w:t>
      </w:r>
      <w:proofErr w:type="spellEnd"/>
      <w:r w:rsidRPr="005C5C9D">
        <w:rPr>
          <w:rFonts w:ascii="Tahoma" w:hAnsi="Tahoma"/>
          <w:color w:val="000000" w:themeColor="text1"/>
        </w:rPr>
        <w:t xml:space="preserve"> (LSP) statusą arba lygiavertį statusą, suteikiantį teisę nuomoti siūlomą programinę įrangą Lietuvoje (pateikiama skaitmeninė dokumento kopija).</w:t>
      </w:r>
    </w:p>
    <w:p w14:paraId="7C03B0AD" w14:textId="191F87BD" w:rsidR="00653C51" w:rsidRPr="001A66A7" w:rsidRDefault="20776280" w:rsidP="00E8303B">
      <w:pPr>
        <w:pStyle w:val="Heading1"/>
      </w:pPr>
      <w:r w:rsidRPr="001A66A7">
        <w:t xml:space="preserve"> </w:t>
      </w:r>
      <w:r w:rsidR="00ED440F" w:rsidRPr="001A66A7">
        <w:t>TECHNINIAI REIKALAVIMAI</w:t>
      </w:r>
    </w:p>
    <w:p w14:paraId="46582E5F" w14:textId="00471846" w:rsidR="00A00C0D" w:rsidRPr="00717578" w:rsidRDefault="0053328A" w:rsidP="00A75D44">
      <w:pPr>
        <w:pStyle w:val="ListParagraph"/>
        <w:numPr>
          <w:ilvl w:val="0"/>
          <w:numId w:val="15"/>
        </w:numPr>
        <w:spacing w:line="276" w:lineRule="auto"/>
        <w:ind w:left="0" w:firstLine="851"/>
        <w:rPr>
          <w:rFonts w:ascii="Tahoma" w:hAnsi="Tahoma"/>
        </w:rPr>
      </w:pPr>
      <w:r w:rsidRPr="001A66A7">
        <w:rPr>
          <w:rFonts w:ascii="Tahoma" w:hAnsi="Tahoma"/>
        </w:rPr>
        <w:t xml:space="preserve">Perkamos </w:t>
      </w:r>
      <w:r w:rsidR="001A66A7" w:rsidRPr="001A66A7">
        <w:rPr>
          <w:rFonts w:ascii="Tahoma" w:hAnsi="Tahoma"/>
        </w:rPr>
        <w:t>licencijos</w:t>
      </w:r>
      <w:r w:rsidRPr="001A66A7">
        <w:rPr>
          <w:rFonts w:ascii="Tahoma" w:hAnsi="Tahoma"/>
        </w:rPr>
        <w:t>:</w:t>
      </w:r>
    </w:p>
    <w:tbl>
      <w:tblPr>
        <w:tblStyle w:val="TableGrid"/>
        <w:tblW w:w="9635" w:type="dxa"/>
        <w:jc w:val="center"/>
        <w:tblLayout w:type="fixed"/>
        <w:tblLook w:val="04A0" w:firstRow="1" w:lastRow="0" w:firstColumn="1" w:lastColumn="0" w:noHBand="0" w:noVBand="1"/>
      </w:tblPr>
      <w:tblGrid>
        <w:gridCol w:w="608"/>
        <w:gridCol w:w="2931"/>
        <w:gridCol w:w="3544"/>
        <w:gridCol w:w="850"/>
        <w:gridCol w:w="851"/>
        <w:gridCol w:w="851"/>
      </w:tblGrid>
      <w:tr w:rsidR="00132935" w:rsidRPr="001A66A7" w14:paraId="7DBEDB50" w14:textId="4EE44276" w:rsidTr="008127C6">
        <w:trPr>
          <w:cantSplit/>
          <w:trHeight w:val="1327"/>
          <w:jc w:val="center"/>
        </w:trPr>
        <w:tc>
          <w:tcPr>
            <w:tcW w:w="608" w:type="dxa"/>
            <w:vAlign w:val="center"/>
          </w:tcPr>
          <w:p w14:paraId="18B41715" w14:textId="51915DA0" w:rsidR="00132935" w:rsidRPr="00132935" w:rsidRDefault="00132935" w:rsidP="00132935">
            <w:pPr>
              <w:tabs>
                <w:tab w:val="clear" w:pos="851"/>
              </w:tabs>
              <w:spacing w:line="276" w:lineRule="auto"/>
              <w:jc w:val="center"/>
              <w:rPr>
                <w:rFonts w:ascii="Tahoma" w:eastAsiaTheme="minorEastAsia" w:hAnsi="Tahoma"/>
                <w:b/>
                <w:bCs/>
                <w:lang w:eastAsia="zh-CN"/>
              </w:rPr>
            </w:pPr>
            <w:r w:rsidRPr="00132935">
              <w:rPr>
                <w:rFonts w:ascii="Tahoma" w:eastAsiaTheme="minorEastAsia" w:hAnsi="Tahoma"/>
                <w:b/>
                <w:bCs/>
                <w:lang w:eastAsia="zh-CN"/>
              </w:rPr>
              <w:t>Eil. Nr.</w:t>
            </w:r>
          </w:p>
        </w:tc>
        <w:tc>
          <w:tcPr>
            <w:tcW w:w="2931" w:type="dxa"/>
            <w:vAlign w:val="center"/>
          </w:tcPr>
          <w:p w14:paraId="2EFB9249" w14:textId="50C1B371" w:rsidR="00132935" w:rsidRPr="00132935" w:rsidRDefault="00132935" w:rsidP="00132935">
            <w:pPr>
              <w:tabs>
                <w:tab w:val="clear" w:pos="851"/>
              </w:tabs>
              <w:spacing w:after="200" w:line="276" w:lineRule="auto"/>
              <w:jc w:val="center"/>
              <w:rPr>
                <w:rFonts w:ascii="Tahoma" w:eastAsiaTheme="minorEastAsia" w:hAnsi="Tahoma"/>
                <w:b/>
                <w:bCs/>
                <w:lang w:eastAsia="zh-CN"/>
              </w:rPr>
            </w:pPr>
            <w:r w:rsidRPr="00132935">
              <w:rPr>
                <w:rFonts w:ascii="Tahoma" w:eastAsiaTheme="minorEastAsia" w:hAnsi="Tahoma"/>
                <w:b/>
                <w:bCs/>
                <w:lang w:eastAsia="zh-CN"/>
              </w:rPr>
              <w:t>Pavadinimas</w:t>
            </w:r>
          </w:p>
        </w:tc>
        <w:tc>
          <w:tcPr>
            <w:tcW w:w="3544" w:type="dxa"/>
            <w:vAlign w:val="center"/>
          </w:tcPr>
          <w:p w14:paraId="0427D21D" w14:textId="22E9655D" w:rsidR="00132935" w:rsidRPr="00132935" w:rsidRDefault="00132935" w:rsidP="00132935">
            <w:pPr>
              <w:tabs>
                <w:tab w:val="clear" w:pos="851"/>
              </w:tabs>
              <w:spacing w:line="276" w:lineRule="auto"/>
              <w:jc w:val="center"/>
              <w:rPr>
                <w:rFonts w:ascii="Tahoma" w:eastAsiaTheme="minorEastAsia" w:hAnsi="Tahoma"/>
                <w:b/>
                <w:bCs/>
                <w:lang w:eastAsia="zh-CN"/>
              </w:rPr>
            </w:pPr>
            <w:r w:rsidRPr="00132935">
              <w:rPr>
                <w:rFonts w:ascii="Tahoma" w:eastAsiaTheme="minorEastAsia" w:hAnsi="Tahoma"/>
                <w:b/>
                <w:bCs/>
                <w:lang w:eastAsia="zh-CN"/>
              </w:rPr>
              <w:t>Licencijavimo tipas ir/ar licencijos kodas</w:t>
            </w:r>
          </w:p>
        </w:tc>
        <w:tc>
          <w:tcPr>
            <w:tcW w:w="850" w:type="dxa"/>
            <w:textDirection w:val="btLr"/>
            <w:vAlign w:val="center"/>
          </w:tcPr>
          <w:p w14:paraId="2091BE7B" w14:textId="3ABBC454" w:rsidR="00132935" w:rsidRPr="00132935" w:rsidRDefault="00132935" w:rsidP="008127C6">
            <w:pPr>
              <w:tabs>
                <w:tab w:val="clear" w:pos="851"/>
              </w:tabs>
              <w:spacing w:line="276" w:lineRule="auto"/>
              <w:ind w:left="113" w:right="113"/>
              <w:jc w:val="center"/>
              <w:rPr>
                <w:rFonts w:ascii="Tahoma" w:eastAsiaTheme="minorEastAsia" w:hAnsi="Tahoma"/>
                <w:b/>
                <w:bCs/>
                <w:sz w:val="16"/>
                <w:szCs w:val="16"/>
                <w:lang w:eastAsia="zh-CN"/>
              </w:rPr>
            </w:pPr>
            <w:r w:rsidRPr="00132935">
              <w:rPr>
                <w:rFonts w:ascii="Tahoma" w:eastAsiaTheme="minorEastAsia" w:hAnsi="Tahoma"/>
                <w:b/>
                <w:bCs/>
                <w:sz w:val="16"/>
                <w:szCs w:val="16"/>
                <w:lang w:eastAsia="zh-CN"/>
              </w:rPr>
              <w:t>Pirmų metų preliminarus</w:t>
            </w:r>
            <w:r w:rsidRPr="00132935" w:rsidDel="0067054E">
              <w:rPr>
                <w:rFonts w:ascii="Tahoma" w:eastAsiaTheme="minorEastAsia" w:hAnsi="Tahoma"/>
                <w:b/>
                <w:bCs/>
                <w:sz w:val="16"/>
                <w:szCs w:val="16"/>
                <w:lang w:eastAsia="zh-CN"/>
              </w:rPr>
              <w:t xml:space="preserve"> </w:t>
            </w:r>
            <w:r w:rsidRPr="00132935">
              <w:rPr>
                <w:rFonts w:ascii="Tahoma" w:eastAsiaTheme="minorEastAsia" w:hAnsi="Tahoma"/>
                <w:b/>
                <w:bCs/>
                <w:sz w:val="16"/>
                <w:szCs w:val="16"/>
                <w:lang w:eastAsia="zh-CN"/>
              </w:rPr>
              <w:t>kiekis, vnt.</w:t>
            </w:r>
          </w:p>
        </w:tc>
        <w:tc>
          <w:tcPr>
            <w:tcW w:w="851" w:type="dxa"/>
            <w:textDirection w:val="btLr"/>
            <w:vAlign w:val="center"/>
          </w:tcPr>
          <w:p w14:paraId="06B462FA" w14:textId="5067A939" w:rsidR="00132935" w:rsidRPr="00132935" w:rsidRDefault="00132935" w:rsidP="008127C6">
            <w:pPr>
              <w:tabs>
                <w:tab w:val="clear" w:pos="851"/>
              </w:tabs>
              <w:spacing w:line="276" w:lineRule="auto"/>
              <w:ind w:left="113" w:right="113"/>
              <w:jc w:val="center"/>
              <w:rPr>
                <w:rFonts w:ascii="Tahoma" w:eastAsiaTheme="minorEastAsia" w:hAnsi="Tahoma"/>
                <w:b/>
                <w:bCs/>
                <w:sz w:val="16"/>
                <w:szCs w:val="16"/>
                <w:lang w:eastAsia="zh-CN"/>
              </w:rPr>
            </w:pPr>
            <w:r w:rsidRPr="00132935">
              <w:rPr>
                <w:rFonts w:ascii="Tahoma" w:eastAsiaTheme="minorEastAsia" w:hAnsi="Tahoma"/>
                <w:b/>
                <w:bCs/>
                <w:sz w:val="16"/>
                <w:szCs w:val="16"/>
                <w:lang w:eastAsia="zh-CN"/>
              </w:rPr>
              <w:t>Antrų metų preliminarus</w:t>
            </w:r>
            <w:r w:rsidRPr="00132935" w:rsidDel="0067054E">
              <w:rPr>
                <w:rFonts w:ascii="Tahoma" w:eastAsiaTheme="minorEastAsia" w:hAnsi="Tahoma"/>
                <w:b/>
                <w:bCs/>
                <w:sz w:val="16"/>
                <w:szCs w:val="16"/>
                <w:lang w:eastAsia="zh-CN"/>
              </w:rPr>
              <w:t xml:space="preserve"> </w:t>
            </w:r>
            <w:r w:rsidRPr="00132935">
              <w:rPr>
                <w:rFonts w:ascii="Tahoma" w:eastAsiaTheme="minorEastAsia" w:hAnsi="Tahoma"/>
                <w:b/>
                <w:bCs/>
                <w:sz w:val="16"/>
                <w:szCs w:val="16"/>
                <w:lang w:eastAsia="zh-CN"/>
              </w:rPr>
              <w:t>kiekis, vnt.</w:t>
            </w:r>
          </w:p>
        </w:tc>
        <w:tc>
          <w:tcPr>
            <w:tcW w:w="851" w:type="dxa"/>
            <w:textDirection w:val="btLr"/>
            <w:vAlign w:val="center"/>
          </w:tcPr>
          <w:p w14:paraId="25D686E7" w14:textId="33D3E053" w:rsidR="00132935" w:rsidRPr="00132935" w:rsidRDefault="00132935" w:rsidP="008127C6">
            <w:pPr>
              <w:tabs>
                <w:tab w:val="clear" w:pos="851"/>
              </w:tabs>
              <w:spacing w:line="276" w:lineRule="auto"/>
              <w:ind w:left="113" w:right="113"/>
              <w:jc w:val="center"/>
              <w:rPr>
                <w:rFonts w:ascii="Tahoma" w:eastAsiaTheme="minorEastAsia" w:hAnsi="Tahoma"/>
                <w:b/>
                <w:bCs/>
                <w:sz w:val="16"/>
                <w:szCs w:val="16"/>
                <w:lang w:eastAsia="zh-CN"/>
              </w:rPr>
            </w:pPr>
            <w:r w:rsidRPr="00132935">
              <w:rPr>
                <w:rFonts w:ascii="Tahoma" w:eastAsiaTheme="minorEastAsia" w:hAnsi="Tahoma"/>
                <w:b/>
                <w:bCs/>
                <w:sz w:val="16"/>
                <w:szCs w:val="16"/>
                <w:lang w:eastAsia="zh-CN"/>
              </w:rPr>
              <w:t>Trečių metų preliminarus</w:t>
            </w:r>
            <w:r w:rsidRPr="00132935" w:rsidDel="0067054E">
              <w:rPr>
                <w:rFonts w:ascii="Tahoma" w:eastAsiaTheme="minorEastAsia" w:hAnsi="Tahoma"/>
                <w:b/>
                <w:bCs/>
                <w:sz w:val="16"/>
                <w:szCs w:val="16"/>
                <w:lang w:eastAsia="zh-CN"/>
              </w:rPr>
              <w:t xml:space="preserve"> </w:t>
            </w:r>
            <w:r w:rsidRPr="00132935">
              <w:rPr>
                <w:rFonts w:ascii="Tahoma" w:eastAsiaTheme="minorEastAsia" w:hAnsi="Tahoma"/>
                <w:b/>
                <w:bCs/>
                <w:sz w:val="16"/>
                <w:szCs w:val="16"/>
                <w:lang w:eastAsia="zh-CN"/>
              </w:rPr>
              <w:t>kiekis, vnt.</w:t>
            </w:r>
          </w:p>
        </w:tc>
      </w:tr>
      <w:tr w:rsidR="00FA76F0" w:rsidRPr="001A66A7" w14:paraId="0F7A86B5" w14:textId="3202242F" w:rsidTr="008127C6">
        <w:trPr>
          <w:trHeight w:val="448"/>
          <w:jc w:val="center"/>
        </w:trPr>
        <w:tc>
          <w:tcPr>
            <w:tcW w:w="608" w:type="dxa"/>
            <w:vAlign w:val="center"/>
          </w:tcPr>
          <w:p w14:paraId="018C7B28" w14:textId="10A0E4E0" w:rsidR="00FA76F0" w:rsidRPr="00132935" w:rsidRDefault="00FA76F0" w:rsidP="00FA76F0">
            <w:pPr>
              <w:pStyle w:val="ListParagraph"/>
              <w:numPr>
                <w:ilvl w:val="0"/>
                <w:numId w:val="30"/>
              </w:numPr>
              <w:ind w:left="6" w:hanging="6"/>
              <w:jc w:val="center"/>
              <w:rPr>
                <w:rFonts w:ascii="Tahoma" w:eastAsiaTheme="minorEastAsia" w:hAnsi="Tahoma"/>
                <w:b/>
                <w:bCs/>
                <w:lang w:eastAsia="zh-CN"/>
              </w:rPr>
            </w:pPr>
            <w:bookmarkStart w:id="0" w:name="_Hlk211415871"/>
          </w:p>
        </w:tc>
        <w:tc>
          <w:tcPr>
            <w:tcW w:w="2931" w:type="dxa"/>
            <w:vAlign w:val="center"/>
          </w:tcPr>
          <w:p w14:paraId="2CBB470F" w14:textId="26BD0B95" w:rsidR="00FA76F0" w:rsidRPr="00355F81" w:rsidRDefault="00FA76F0" w:rsidP="008127C6">
            <w:pPr>
              <w:spacing w:line="276" w:lineRule="auto"/>
              <w:rPr>
                <w:rFonts w:ascii="Tahoma" w:hAnsi="Tahoma" w:cs="Tahoma"/>
                <w:color w:val="000000"/>
                <w:sz w:val="22"/>
                <w:szCs w:val="22"/>
              </w:rPr>
            </w:pPr>
            <w:hyperlink r:id="rId8" w:anchor="RANGE!A1" w:history="1">
              <w:r w:rsidRPr="00355F81">
                <w:rPr>
                  <w:rFonts w:ascii="Tahoma" w:hAnsi="Tahoma" w:cs="Tahoma"/>
                  <w:color w:val="000000"/>
                  <w:sz w:val="22"/>
                  <w:szCs w:val="22"/>
                </w:rPr>
                <w:t>Microsoft 365 E3</w:t>
              </w:r>
            </w:hyperlink>
          </w:p>
        </w:tc>
        <w:tc>
          <w:tcPr>
            <w:tcW w:w="3544" w:type="dxa"/>
            <w:vAlign w:val="center"/>
          </w:tcPr>
          <w:p w14:paraId="27A1E078" w14:textId="41F000A9" w:rsidR="00FA76F0" w:rsidRPr="00355F81" w:rsidRDefault="009854B5" w:rsidP="00FA76F0">
            <w:pPr>
              <w:tabs>
                <w:tab w:val="clear" w:pos="851"/>
              </w:tabs>
              <w:jc w:val="left"/>
              <w:rPr>
                <w:rFonts w:ascii="Tahoma" w:hAnsi="Tahoma" w:cs="Tahoma"/>
                <w:color w:val="000000"/>
                <w:sz w:val="22"/>
                <w:szCs w:val="22"/>
              </w:rPr>
            </w:pPr>
            <w:r w:rsidRPr="00355F81">
              <w:rPr>
                <w:rFonts w:ascii="Tahoma" w:hAnsi="Tahoma" w:cs="Tahoma"/>
                <w:color w:val="000000"/>
                <w:sz w:val="22"/>
                <w:szCs w:val="22"/>
              </w:rPr>
              <w:t xml:space="preserve">Microsoft 365 E3 </w:t>
            </w:r>
            <w:proofErr w:type="spellStart"/>
            <w:r w:rsidR="006826B8" w:rsidRPr="00355F81">
              <w:rPr>
                <w:rFonts w:ascii="Tahoma" w:hAnsi="Tahoma" w:cs="Tahoma"/>
                <w:color w:val="000000"/>
                <w:sz w:val="22"/>
                <w:szCs w:val="22"/>
              </w:rPr>
              <w:t>Sub</w:t>
            </w:r>
            <w:proofErr w:type="spellEnd"/>
            <w:r w:rsidR="006826B8" w:rsidRPr="00355F81">
              <w:rPr>
                <w:rFonts w:ascii="Tahoma" w:hAnsi="Tahoma" w:cs="Tahoma"/>
                <w:color w:val="000000"/>
                <w:sz w:val="22"/>
                <w:szCs w:val="22"/>
              </w:rPr>
              <w:t xml:space="preserve"> Per </w:t>
            </w:r>
            <w:proofErr w:type="spellStart"/>
            <w:r w:rsidR="006826B8" w:rsidRPr="00355F81">
              <w:rPr>
                <w:rFonts w:ascii="Tahoma" w:hAnsi="Tahoma" w:cs="Tahoma"/>
                <w:color w:val="000000"/>
                <w:sz w:val="22"/>
                <w:szCs w:val="22"/>
              </w:rPr>
              <w:t>User</w:t>
            </w:r>
            <w:proofErr w:type="spellEnd"/>
            <w:r w:rsidR="006826B8" w:rsidRPr="00355F81">
              <w:rPr>
                <w:rFonts w:ascii="Tahoma" w:hAnsi="Tahoma" w:cs="Tahoma"/>
                <w:color w:val="000000"/>
                <w:sz w:val="22"/>
                <w:szCs w:val="22"/>
              </w:rPr>
              <w:t xml:space="preserve"> </w:t>
            </w:r>
            <w:r w:rsidRPr="00355F81">
              <w:rPr>
                <w:rFonts w:ascii="Tahoma" w:hAnsi="Tahoma" w:cs="Tahoma"/>
                <w:color w:val="000000"/>
                <w:sz w:val="22"/>
                <w:szCs w:val="22"/>
              </w:rPr>
              <w:t>(</w:t>
            </w:r>
            <w:proofErr w:type="spellStart"/>
            <w:r w:rsidRPr="00355F81">
              <w:rPr>
                <w:rFonts w:ascii="Tahoma" w:hAnsi="Tahoma" w:cs="Tahoma"/>
                <w:color w:val="000000"/>
                <w:sz w:val="22"/>
                <w:szCs w:val="22"/>
              </w:rPr>
              <w:t>Includes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Teams</w:t>
            </w:r>
            <w:proofErr w:type="spellEnd"/>
            <w:r w:rsidRPr="00355F81">
              <w:rPr>
                <w:rFonts w:ascii="Tahoma" w:hAnsi="Tahoma" w:cs="Tahoma"/>
                <w:color w:val="000000"/>
                <w:sz w:val="22"/>
                <w:szCs w:val="22"/>
              </w:rPr>
              <w:t>)</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0453055A" w14:textId="75317977" w:rsidR="00FA76F0" w:rsidRPr="005E25C8" w:rsidRDefault="00355F81" w:rsidP="00FA76F0">
            <w:pPr>
              <w:tabs>
                <w:tab w:val="clear" w:pos="851"/>
              </w:tabs>
              <w:jc w:val="center"/>
              <w:rPr>
                <w:rFonts w:ascii="Tahoma" w:eastAsiaTheme="minorEastAsia" w:hAnsi="Tahoma"/>
                <w:lang w:eastAsia="zh-CN"/>
              </w:rPr>
            </w:pPr>
            <w:r>
              <w:rPr>
                <w:rFonts w:ascii="Tahoma" w:eastAsiaTheme="minorEastAsia" w:hAnsi="Tahoma"/>
                <w:lang w:eastAsia="zh-CN"/>
              </w:rPr>
              <w:t>1800</w:t>
            </w:r>
          </w:p>
        </w:tc>
        <w:tc>
          <w:tcPr>
            <w:tcW w:w="851" w:type="dxa"/>
            <w:vAlign w:val="center"/>
          </w:tcPr>
          <w:p w14:paraId="082D2327" w14:textId="5D80750B" w:rsidR="00FA76F0" w:rsidRPr="005E25C8" w:rsidRDefault="00332A48" w:rsidP="00FA76F0">
            <w:pPr>
              <w:tabs>
                <w:tab w:val="clear" w:pos="851"/>
              </w:tabs>
              <w:rPr>
                <w:rFonts w:ascii="Tahoma" w:eastAsiaTheme="minorEastAsia" w:hAnsi="Tahoma"/>
                <w:lang w:eastAsia="zh-CN"/>
              </w:rPr>
            </w:pPr>
            <w:r>
              <w:rPr>
                <w:rFonts w:ascii="Tahoma" w:eastAsiaTheme="minorEastAsia" w:hAnsi="Tahoma"/>
                <w:lang w:eastAsia="zh-CN"/>
              </w:rPr>
              <w:t>1800</w:t>
            </w:r>
          </w:p>
        </w:tc>
        <w:tc>
          <w:tcPr>
            <w:tcW w:w="851" w:type="dxa"/>
            <w:vAlign w:val="center"/>
          </w:tcPr>
          <w:p w14:paraId="1732F7DE" w14:textId="15F65513" w:rsidR="00FA76F0" w:rsidRPr="009854B5" w:rsidRDefault="00332A48" w:rsidP="005E25C8">
            <w:pPr>
              <w:tabs>
                <w:tab w:val="clear" w:pos="851"/>
              </w:tabs>
              <w:jc w:val="center"/>
              <w:rPr>
                <w:rFonts w:ascii="Tahoma" w:eastAsiaTheme="minorEastAsia" w:hAnsi="Tahoma"/>
                <w:lang w:val="en-US" w:eastAsia="zh-CN"/>
              </w:rPr>
            </w:pPr>
            <w:r>
              <w:rPr>
                <w:rFonts w:ascii="Tahoma" w:eastAsiaTheme="minorEastAsia" w:hAnsi="Tahoma"/>
                <w:lang w:val="en-US" w:eastAsia="zh-CN"/>
              </w:rPr>
              <w:t>1800</w:t>
            </w:r>
          </w:p>
        </w:tc>
      </w:tr>
      <w:tr w:rsidR="00FA76F0" w:rsidRPr="001A66A7" w14:paraId="1369C3EF" w14:textId="77777777" w:rsidTr="008127C6">
        <w:trPr>
          <w:trHeight w:val="408"/>
          <w:jc w:val="center"/>
        </w:trPr>
        <w:tc>
          <w:tcPr>
            <w:tcW w:w="608" w:type="dxa"/>
            <w:vAlign w:val="center"/>
          </w:tcPr>
          <w:p w14:paraId="48C5BB61" w14:textId="77777777" w:rsidR="00FA76F0" w:rsidRPr="00132935" w:rsidRDefault="00FA76F0" w:rsidP="00FA76F0">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64B26029" w14:textId="3D720E8C" w:rsidR="00FA76F0" w:rsidRPr="00355F81" w:rsidRDefault="00FA76F0"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365 E5</w:t>
            </w:r>
          </w:p>
        </w:tc>
        <w:tc>
          <w:tcPr>
            <w:tcW w:w="3544" w:type="dxa"/>
            <w:vAlign w:val="center"/>
          </w:tcPr>
          <w:p w14:paraId="2A2002A0" w14:textId="2F56376D" w:rsidR="00FA76F0" w:rsidRPr="00355F81" w:rsidRDefault="008127C6" w:rsidP="00FA76F0">
            <w:pPr>
              <w:tabs>
                <w:tab w:val="clear" w:pos="851"/>
              </w:tabs>
              <w:jc w:val="left"/>
              <w:rPr>
                <w:rFonts w:ascii="Tahoma" w:hAnsi="Tahoma" w:cs="Tahoma"/>
                <w:color w:val="000000"/>
                <w:sz w:val="22"/>
                <w:szCs w:val="22"/>
              </w:rPr>
            </w:pPr>
            <w:r w:rsidRPr="00355F81">
              <w:rPr>
                <w:rFonts w:ascii="Tahoma" w:hAnsi="Tahoma" w:cs="Tahoma"/>
                <w:color w:val="000000"/>
                <w:sz w:val="22"/>
                <w:szCs w:val="22"/>
              </w:rPr>
              <w:t xml:space="preserve">M365 E5 </w:t>
            </w:r>
            <w:proofErr w:type="spellStart"/>
            <w:r w:rsidRPr="00355F81">
              <w:rPr>
                <w:rFonts w:ascii="Tahoma" w:hAnsi="Tahoma" w:cs="Tahoma"/>
                <w:color w:val="000000"/>
                <w:sz w:val="22"/>
                <w:szCs w:val="22"/>
              </w:rPr>
              <w:t>Unified</w:t>
            </w:r>
            <w:proofErr w:type="spellEnd"/>
            <w:r w:rsidRPr="00355F81">
              <w:rPr>
                <w:rFonts w:ascii="Tahoma" w:hAnsi="Tahoma" w:cs="Tahoma"/>
                <w:color w:val="000000"/>
                <w:sz w:val="22"/>
                <w:szCs w:val="22"/>
              </w:rPr>
              <w:t xml:space="preserve"> FSA </w:t>
            </w:r>
            <w:proofErr w:type="spellStart"/>
            <w:r w:rsidRPr="00355F81">
              <w:rPr>
                <w:rFonts w:ascii="Tahoma" w:hAnsi="Tahoma" w:cs="Tahoma"/>
                <w:color w:val="000000"/>
                <w:sz w:val="22"/>
                <w:szCs w:val="22"/>
              </w:rPr>
              <w:t>Renewal</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29118606" w14:textId="060DBBFA" w:rsidR="00FA76F0" w:rsidRPr="005E25C8" w:rsidRDefault="00355F81" w:rsidP="00332A48">
            <w:pPr>
              <w:tabs>
                <w:tab w:val="clear" w:pos="851"/>
              </w:tabs>
              <w:jc w:val="center"/>
              <w:rPr>
                <w:rFonts w:ascii="Tahoma" w:eastAsiaTheme="minorEastAsia" w:hAnsi="Tahoma"/>
                <w:lang w:eastAsia="zh-CN"/>
              </w:rPr>
            </w:pPr>
            <w:r>
              <w:rPr>
                <w:rFonts w:ascii="Tahoma" w:eastAsiaTheme="minorEastAsia" w:hAnsi="Tahoma"/>
                <w:lang w:eastAsia="zh-CN"/>
              </w:rPr>
              <w:t>2</w:t>
            </w:r>
          </w:p>
        </w:tc>
        <w:tc>
          <w:tcPr>
            <w:tcW w:w="851" w:type="dxa"/>
            <w:vAlign w:val="center"/>
          </w:tcPr>
          <w:p w14:paraId="204F5C1D" w14:textId="7AB1AB15" w:rsidR="00FA76F0" w:rsidRPr="005E25C8" w:rsidRDefault="00332A48" w:rsidP="00332A48">
            <w:pPr>
              <w:tabs>
                <w:tab w:val="clear" w:pos="851"/>
              </w:tabs>
              <w:jc w:val="center"/>
              <w:rPr>
                <w:rFonts w:ascii="Tahoma" w:eastAsiaTheme="minorEastAsia" w:hAnsi="Tahoma"/>
                <w:lang w:eastAsia="zh-CN"/>
              </w:rPr>
            </w:pPr>
            <w:r>
              <w:rPr>
                <w:rFonts w:ascii="Tahoma" w:eastAsiaTheme="minorEastAsia" w:hAnsi="Tahoma"/>
                <w:lang w:eastAsia="zh-CN"/>
              </w:rPr>
              <w:t>2</w:t>
            </w:r>
          </w:p>
        </w:tc>
        <w:tc>
          <w:tcPr>
            <w:tcW w:w="851" w:type="dxa"/>
            <w:vAlign w:val="center"/>
          </w:tcPr>
          <w:p w14:paraId="1F8D8666" w14:textId="3BB71BC8" w:rsidR="00FA76F0" w:rsidRPr="005E25C8" w:rsidRDefault="00332A48" w:rsidP="00332A48">
            <w:pPr>
              <w:tabs>
                <w:tab w:val="clear" w:pos="851"/>
              </w:tabs>
              <w:jc w:val="center"/>
              <w:rPr>
                <w:rFonts w:ascii="Tahoma" w:eastAsiaTheme="minorEastAsia" w:hAnsi="Tahoma"/>
                <w:lang w:eastAsia="zh-CN"/>
              </w:rPr>
            </w:pPr>
            <w:r>
              <w:rPr>
                <w:rFonts w:ascii="Tahoma" w:eastAsiaTheme="minorEastAsia" w:hAnsi="Tahoma"/>
                <w:lang w:eastAsia="zh-CN"/>
              </w:rPr>
              <w:t>2</w:t>
            </w:r>
          </w:p>
        </w:tc>
      </w:tr>
      <w:tr w:rsidR="00FA76F0" w:rsidRPr="001A66A7" w14:paraId="2E8EFBC3" w14:textId="77777777" w:rsidTr="008127C6">
        <w:trPr>
          <w:trHeight w:val="464"/>
          <w:jc w:val="center"/>
        </w:trPr>
        <w:tc>
          <w:tcPr>
            <w:tcW w:w="608" w:type="dxa"/>
            <w:vAlign w:val="center"/>
          </w:tcPr>
          <w:p w14:paraId="1E359DAD" w14:textId="77777777" w:rsidR="00FA76F0" w:rsidRPr="00132935" w:rsidRDefault="00FA76F0" w:rsidP="00FA76F0">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09EEB89D" w14:textId="5BA4EC45" w:rsidR="00FA76F0" w:rsidRPr="00355F81" w:rsidRDefault="00FA76F0"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Copilot</w:t>
            </w:r>
            <w:proofErr w:type="spellEnd"/>
          </w:p>
        </w:tc>
        <w:tc>
          <w:tcPr>
            <w:tcW w:w="3544" w:type="dxa"/>
            <w:vAlign w:val="center"/>
          </w:tcPr>
          <w:p w14:paraId="262D0C72" w14:textId="199916E2" w:rsidR="00FA76F0" w:rsidRPr="00355F81" w:rsidRDefault="00FA76F0" w:rsidP="00FA76F0">
            <w:pPr>
              <w:tabs>
                <w:tab w:val="clear" w:pos="851"/>
              </w:tabs>
              <w:jc w:val="left"/>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Copilot</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for</w:t>
            </w:r>
            <w:proofErr w:type="spellEnd"/>
            <w:r w:rsidRPr="00355F81">
              <w:rPr>
                <w:rFonts w:ascii="Tahoma" w:hAnsi="Tahoma" w:cs="Tahoma"/>
                <w:color w:val="000000"/>
                <w:sz w:val="22"/>
                <w:szCs w:val="22"/>
              </w:rPr>
              <w:t xml:space="preserve"> M365 </w:t>
            </w:r>
            <w:proofErr w:type="spellStart"/>
            <w:r w:rsidRPr="00355F81">
              <w:rPr>
                <w:rFonts w:ascii="Tahoma" w:hAnsi="Tahoma" w:cs="Tahoma"/>
                <w:color w:val="000000"/>
                <w:sz w:val="22"/>
                <w:szCs w:val="22"/>
              </w:rPr>
              <w:t>add-on</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294327BD" w14:textId="11744576" w:rsidR="00FA76F0" w:rsidRPr="00332A48" w:rsidRDefault="005E25C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90</w:t>
            </w:r>
          </w:p>
        </w:tc>
        <w:tc>
          <w:tcPr>
            <w:tcW w:w="851" w:type="dxa"/>
            <w:vAlign w:val="center"/>
          </w:tcPr>
          <w:p w14:paraId="10584B97" w14:textId="7F9CD51C" w:rsidR="00FA76F0" w:rsidRPr="00332A48" w:rsidRDefault="005E25C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90</w:t>
            </w:r>
          </w:p>
        </w:tc>
        <w:tc>
          <w:tcPr>
            <w:tcW w:w="851" w:type="dxa"/>
            <w:vAlign w:val="center"/>
          </w:tcPr>
          <w:p w14:paraId="26588FBD" w14:textId="62D48AEF" w:rsidR="00FA76F0" w:rsidRPr="00332A48" w:rsidRDefault="005E25C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90</w:t>
            </w:r>
          </w:p>
        </w:tc>
      </w:tr>
      <w:tr w:rsidR="002721DE" w:rsidRPr="001A66A7" w14:paraId="3AF664B3" w14:textId="77777777" w:rsidTr="008127C6">
        <w:trPr>
          <w:trHeight w:val="414"/>
          <w:jc w:val="center"/>
        </w:trPr>
        <w:tc>
          <w:tcPr>
            <w:tcW w:w="608" w:type="dxa"/>
            <w:vAlign w:val="center"/>
          </w:tcPr>
          <w:p w14:paraId="61DBACD9"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4382DF2B" w14:textId="0D2981D8"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Infrastructure</w:t>
            </w:r>
            <w:proofErr w:type="spellEnd"/>
            <w:r w:rsidRPr="00355F81">
              <w:rPr>
                <w:rFonts w:ascii="Tahoma" w:hAnsi="Tahoma" w:cs="Tahoma"/>
                <w:color w:val="000000"/>
                <w:sz w:val="22"/>
                <w:szCs w:val="22"/>
              </w:rPr>
              <w:t xml:space="preserve"> Server </w:t>
            </w:r>
            <w:proofErr w:type="spellStart"/>
            <w:r w:rsidRPr="00355F81">
              <w:rPr>
                <w:rFonts w:ascii="Tahoma" w:hAnsi="Tahoma" w:cs="Tahoma"/>
                <w:color w:val="000000"/>
                <w:sz w:val="22"/>
                <w:szCs w:val="22"/>
              </w:rPr>
              <w:t>Suite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Datacenter</w:t>
            </w:r>
            <w:proofErr w:type="spellEnd"/>
          </w:p>
        </w:tc>
        <w:tc>
          <w:tcPr>
            <w:tcW w:w="3544" w:type="dxa"/>
            <w:vAlign w:val="center"/>
          </w:tcPr>
          <w:p w14:paraId="0EB84266" w14:textId="210F9E1E"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CIS </w:t>
            </w:r>
            <w:proofErr w:type="spellStart"/>
            <w:r w:rsidRPr="00355F81">
              <w:rPr>
                <w:rFonts w:ascii="Tahoma" w:hAnsi="Tahoma" w:cs="Tahoma"/>
                <w:color w:val="000000"/>
                <w:sz w:val="22"/>
                <w:szCs w:val="22"/>
              </w:rPr>
              <w:t>Suite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Datacenter</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 2L</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4DD80B5C" w14:textId="3815B8B8" w:rsidR="00355F81" w:rsidRPr="00332A48" w:rsidRDefault="00355F81"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130</w:t>
            </w:r>
          </w:p>
        </w:tc>
        <w:tc>
          <w:tcPr>
            <w:tcW w:w="851" w:type="dxa"/>
            <w:vAlign w:val="center"/>
          </w:tcPr>
          <w:p w14:paraId="7438AD1F" w14:textId="37AB74C7"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130</w:t>
            </w:r>
          </w:p>
        </w:tc>
        <w:tc>
          <w:tcPr>
            <w:tcW w:w="851" w:type="dxa"/>
            <w:vAlign w:val="center"/>
          </w:tcPr>
          <w:p w14:paraId="3D568343" w14:textId="098C93F1"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130</w:t>
            </w:r>
          </w:p>
        </w:tc>
      </w:tr>
      <w:tr w:rsidR="00355F81" w:rsidRPr="001A66A7" w14:paraId="6B7CD812" w14:textId="77777777" w:rsidTr="008127C6">
        <w:trPr>
          <w:trHeight w:val="414"/>
          <w:jc w:val="center"/>
        </w:trPr>
        <w:tc>
          <w:tcPr>
            <w:tcW w:w="608" w:type="dxa"/>
            <w:vAlign w:val="center"/>
          </w:tcPr>
          <w:p w14:paraId="6B4DD542" w14:textId="77777777" w:rsidR="00355F81" w:rsidRPr="00132935" w:rsidRDefault="00355F81"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3FB29C2" w14:textId="52BFAB3C" w:rsidR="00355F81" w:rsidRPr="00355F81" w:rsidRDefault="00355F81"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Defender</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for</w:t>
            </w:r>
            <w:proofErr w:type="spellEnd"/>
            <w:r w:rsidRPr="00355F81">
              <w:rPr>
                <w:rFonts w:ascii="Tahoma" w:hAnsi="Tahoma" w:cs="Tahoma"/>
                <w:color w:val="000000"/>
                <w:sz w:val="22"/>
                <w:szCs w:val="22"/>
              </w:rPr>
              <w:t xml:space="preserve"> Office 365</w:t>
            </w:r>
          </w:p>
        </w:tc>
        <w:tc>
          <w:tcPr>
            <w:tcW w:w="3544" w:type="dxa"/>
            <w:vAlign w:val="center"/>
          </w:tcPr>
          <w:p w14:paraId="757DB6CA" w14:textId="6F319958" w:rsidR="00355F81" w:rsidRPr="00355F81" w:rsidRDefault="00355F81"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Defender</w:t>
            </w:r>
            <w:proofErr w:type="spellEnd"/>
            <w:r w:rsidRPr="00355F81">
              <w:rPr>
                <w:rFonts w:ascii="Tahoma" w:hAnsi="Tahoma" w:cs="Tahoma"/>
                <w:color w:val="000000"/>
                <w:sz w:val="22"/>
                <w:szCs w:val="22"/>
              </w:rPr>
              <w:t xml:space="preserve"> O365 P1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72DA4FE0" w14:textId="4F62862C" w:rsidR="00355F81" w:rsidRPr="00332A48" w:rsidRDefault="00355F81"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3C37452D" w14:textId="38C4C17D" w:rsidR="00355F81"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2F65B27B" w14:textId="30099277" w:rsidR="00355F81"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73EE1B79" w14:textId="77777777" w:rsidTr="008127C6">
        <w:trPr>
          <w:trHeight w:val="419"/>
          <w:jc w:val="center"/>
        </w:trPr>
        <w:tc>
          <w:tcPr>
            <w:tcW w:w="608" w:type="dxa"/>
            <w:vAlign w:val="center"/>
          </w:tcPr>
          <w:p w14:paraId="3ED294FD"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FAA94CA" w14:textId="0C66F6BE"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Exchange Server Standard Edition</w:t>
            </w:r>
          </w:p>
        </w:tc>
        <w:tc>
          <w:tcPr>
            <w:tcW w:w="3544" w:type="dxa"/>
            <w:vAlign w:val="center"/>
          </w:tcPr>
          <w:p w14:paraId="3E1ACBEB" w14:textId="5CD4CADD"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Exchange Server Standard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250DDB9A" w14:textId="11C22C31" w:rsidR="002721DE" w:rsidRPr="00332A48" w:rsidRDefault="00355F81"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w:t>
            </w:r>
          </w:p>
        </w:tc>
        <w:tc>
          <w:tcPr>
            <w:tcW w:w="851" w:type="dxa"/>
            <w:vAlign w:val="center"/>
          </w:tcPr>
          <w:p w14:paraId="1FAE65A2" w14:textId="6F3FAD27"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w:t>
            </w:r>
          </w:p>
        </w:tc>
        <w:tc>
          <w:tcPr>
            <w:tcW w:w="851" w:type="dxa"/>
            <w:vAlign w:val="center"/>
          </w:tcPr>
          <w:p w14:paraId="007DC4A8" w14:textId="502E28E1"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w:t>
            </w:r>
          </w:p>
        </w:tc>
      </w:tr>
      <w:tr w:rsidR="002721DE" w:rsidRPr="001A66A7" w14:paraId="6F92CDC5" w14:textId="77777777" w:rsidTr="008127C6">
        <w:trPr>
          <w:trHeight w:val="419"/>
          <w:jc w:val="center"/>
        </w:trPr>
        <w:tc>
          <w:tcPr>
            <w:tcW w:w="608" w:type="dxa"/>
            <w:vAlign w:val="center"/>
          </w:tcPr>
          <w:p w14:paraId="79BB752B"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78AF12D" w14:textId="7FB20FCF"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Project </w:t>
            </w:r>
          </w:p>
        </w:tc>
        <w:tc>
          <w:tcPr>
            <w:tcW w:w="3544" w:type="dxa"/>
            <w:vAlign w:val="center"/>
          </w:tcPr>
          <w:p w14:paraId="18531D3F" w14:textId="6A7770E6"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Planner</w:t>
            </w:r>
            <w:proofErr w:type="spellEnd"/>
            <w:r w:rsidRPr="00355F81">
              <w:rPr>
                <w:rFonts w:ascii="Tahoma" w:hAnsi="Tahoma" w:cs="Tahoma"/>
                <w:color w:val="000000"/>
                <w:sz w:val="22"/>
                <w:szCs w:val="22"/>
              </w:rPr>
              <w:t xml:space="preserve"> &amp; Project P3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4795C1D1" w14:textId="41097F19"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57395726" w14:textId="287CA0B6"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4DD1400B" w14:textId="43703EEA"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r>
      <w:tr w:rsidR="002721DE" w:rsidRPr="001A66A7" w14:paraId="22862C27" w14:textId="77777777" w:rsidTr="008127C6">
        <w:trPr>
          <w:trHeight w:val="419"/>
          <w:jc w:val="center"/>
        </w:trPr>
        <w:tc>
          <w:tcPr>
            <w:tcW w:w="608" w:type="dxa"/>
            <w:vAlign w:val="center"/>
          </w:tcPr>
          <w:p w14:paraId="0B316F08"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027D3364" w14:textId="5E37D782"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remote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desktop</w:t>
            </w:r>
            <w:proofErr w:type="spellEnd"/>
            <w:r w:rsidRPr="00355F81">
              <w:rPr>
                <w:rFonts w:ascii="Tahoma" w:hAnsi="Tahoma" w:cs="Tahoma"/>
                <w:color w:val="000000"/>
                <w:sz w:val="22"/>
                <w:szCs w:val="22"/>
              </w:rPr>
              <w:t xml:space="preserve"> (RDP)</w:t>
            </w:r>
          </w:p>
        </w:tc>
        <w:tc>
          <w:tcPr>
            <w:tcW w:w="3544" w:type="dxa"/>
            <w:vAlign w:val="center"/>
          </w:tcPr>
          <w:p w14:paraId="1829409F" w14:textId="033327FC"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Win</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Remote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Desktop</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Services</w:t>
            </w:r>
            <w:proofErr w:type="spellEnd"/>
            <w:r w:rsidRPr="00355F81">
              <w:rPr>
                <w:rFonts w:ascii="Tahoma" w:hAnsi="Tahoma" w:cs="Tahoma"/>
                <w:color w:val="000000"/>
                <w:sz w:val="22"/>
                <w:szCs w:val="22"/>
              </w:rPr>
              <w:t xml:space="preserve"> CAL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 UCAL</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01A0DD93" w14:textId="37E42F97"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180</w:t>
            </w:r>
          </w:p>
        </w:tc>
        <w:tc>
          <w:tcPr>
            <w:tcW w:w="851" w:type="dxa"/>
            <w:vAlign w:val="center"/>
          </w:tcPr>
          <w:p w14:paraId="1360F14D" w14:textId="0DF41AD4"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180</w:t>
            </w:r>
          </w:p>
        </w:tc>
        <w:tc>
          <w:tcPr>
            <w:tcW w:w="851" w:type="dxa"/>
            <w:vAlign w:val="center"/>
          </w:tcPr>
          <w:p w14:paraId="0915C07D" w14:textId="6A8204E0"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180</w:t>
            </w:r>
          </w:p>
        </w:tc>
      </w:tr>
      <w:tr w:rsidR="002721DE" w:rsidRPr="001A66A7" w14:paraId="60BB7872" w14:textId="77777777" w:rsidTr="008127C6">
        <w:trPr>
          <w:trHeight w:val="419"/>
          <w:jc w:val="center"/>
        </w:trPr>
        <w:tc>
          <w:tcPr>
            <w:tcW w:w="608" w:type="dxa"/>
            <w:vAlign w:val="center"/>
          </w:tcPr>
          <w:p w14:paraId="21B3C449"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087DE21D" w14:textId="1F538B6B"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SharePoint Server</w:t>
            </w:r>
          </w:p>
        </w:tc>
        <w:tc>
          <w:tcPr>
            <w:tcW w:w="3544" w:type="dxa"/>
            <w:vAlign w:val="center"/>
          </w:tcPr>
          <w:p w14:paraId="605831D9" w14:textId="5C91AEC2"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SharePoint Server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327D3E54" w14:textId="48028B99"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09CCF6F5" w14:textId="68B5E758"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172AD1B3" w14:textId="2578FAE1"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r>
      <w:tr w:rsidR="002721DE" w:rsidRPr="001A66A7" w14:paraId="43D15EFE" w14:textId="77777777" w:rsidTr="008127C6">
        <w:trPr>
          <w:trHeight w:val="419"/>
          <w:jc w:val="center"/>
        </w:trPr>
        <w:tc>
          <w:tcPr>
            <w:tcW w:w="608" w:type="dxa"/>
            <w:vAlign w:val="center"/>
          </w:tcPr>
          <w:p w14:paraId="0B45C14E"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0E158E01" w14:textId="4A49DC2A" w:rsidR="002721DE" w:rsidRPr="00355F81" w:rsidRDefault="002721DE" w:rsidP="008127C6">
            <w:pPr>
              <w:spacing w:line="276" w:lineRule="auto"/>
              <w:rPr>
                <w:rFonts w:ascii="Tahoma" w:hAnsi="Tahoma" w:cs="Tahoma"/>
                <w:color w:val="000000"/>
                <w:sz w:val="22"/>
                <w:szCs w:val="22"/>
              </w:rPr>
            </w:pPr>
            <w:proofErr w:type="spellStart"/>
            <w:r w:rsidRPr="00355F81">
              <w:rPr>
                <w:rFonts w:ascii="Tahoma" w:hAnsi="Tahoma" w:cs="Tahoma"/>
                <w:color w:val="000000"/>
                <w:sz w:val="22"/>
                <w:szCs w:val="22"/>
              </w:rPr>
              <w:t>Win</w:t>
            </w:r>
            <w:proofErr w:type="spellEnd"/>
            <w:r w:rsidRPr="00355F81">
              <w:rPr>
                <w:rFonts w:ascii="Tahoma" w:hAnsi="Tahoma" w:cs="Tahoma"/>
                <w:color w:val="000000"/>
                <w:sz w:val="22"/>
                <w:szCs w:val="22"/>
              </w:rPr>
              <w:t xml:space="preserve"> VDA </w:t>
            </w:r>
            <w:proofErr w:type="spellStart"/>
            <w:r w:rsidRPr="00355F81">
              <w:rPr>
                <w:rFonts w:ascii="Tahoma" w:hAnsi="Tahoma" w:cs="Tahoma"/>
                <w:color w:val="000000"/>
                <w:sz w:val="22"/>
                <w:szCs w:val="22"/>
              </w:rPr>
              <w:t>Device</w:t>
            </w:r>
            <w:proofErr w:type="spellEnd"/>
            <w:r w:rsidRPr="00355F81">
              <w:rPr>
                <w:rFonts w:ascii="Tahoma" w:hAnsi="Tahoma" w:cs="Tahoma"/>
                <w:color w:val="000000"/>
                <w:sz w:val="22"/>
                <w:szCs w:val="22"/>
              </w:rPr>
              <w:t xml:space="preserve"> (Microsoft virtualios darbo vietos licencijų paketas)</w:t>
            </w:r>
          </w:p>
        </w:tc>
        <w:tc>
          <w:tcPr>
            <w:tcW w:w="3544" w:type="dxa"/>
            <w:vAlign w:val="center"/>
          </w:tcPr>
          <w:p w14:paraId="6BF56678" w14:textId="5BEA3BDE"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Win</w:t>
            </w:r>
            <w:proofErr w:type="spellEnd"/>
            <w:r w:rsidRPr="00355F81">
              <w:rPr>
                <w:rFonts w:ascii="Tahoma" w:hAnsi="Tahoma" w:cs="Tahoma"/>
                <w:color w:val="000000"/>
                <w:sz w:val="22"/>
                <w:szCs w:val="22"/>
              </w:rPr>
              <w:t xml:space="preserve"> VDA </w:t>
            </w:r>
            <w:proofErr w:type="spellStart"/>
            <w:r w:rsidRPr="00355F81">
              <w:rPr>
                <w:rFonts w:ascii="Tahoma" w:hAnsi="Tahoma" w:cs="Tahoma"/>
                <w:color w:val="000000"/>
                <w:sz w:val="22"/>
                <w:szCs w:val="22"/>
              </w:rPr>
              <w:t>Device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Device</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40690CF1" w14:textId="648CA2B1"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1922636D" w14:textId="2442178C"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574D1953" w14:textId="64D79995"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64BA0B4C" w14:textId="77777777" w:rsidTr="008127C6">
        <w:trPr>
          <w:trHeight w:val="419"/>
          <w:jc w:val="center"/>
        </w:trPr>
        <w:tc>
          <w:tcPr>
            <w:tcW w:w="608" w:type="dxa"/>
            <w:vAlign w:val="center"/>
          </w:tcPr>
          <w:p w14:paraId="0A88166F"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1D15081" w14:textId="0E90148C"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Office Professional </w:t>
            </w:r>
            <w:proofErr w:type="spellStart"/>
            <w:r w:rsidRPr="00355F81">
              <w:rPr>
                <w:rFonts w:ascii="Tahoma" w:hAnsi="Tahoma" w:cs="Tahoma"/>
                <w:color w:val="000000"/>
                <w:sz w:val="22"/>
                <w:szCs w:val="22"/>
              </w:rPr>
              <w:t>Plus</w:t>
            </w:r>
            <w:proofErr w:type="spellEnd"/>
            <w:r w:rsidRPr="00355F81">
              <w:rPr>
                <w:rFonts w:ascii="Tahoma" w:hAnsi="Tahoma" w:cs="Tahoma"/>
                <w:color w:val="000000"/>
                <w:sz w:val="22"/>
                <w:szCs w:val="22"/>
              </w:rPr>
              <w:t xml:space="preserve"> (Microsoft virtualios darbo vietos licencijų paketas)</w:t>
            </w:r>
          </w:p>
        </w:tc>
        <w:tc>
          <w:tcPr>
            <w:tcW w:w="3544" w:type="dxa"/>
            <w:vAlign w:val="center"/>
          </w:tcPr>
          <w:p w14:paraId="760A36D5" w14:textId="44079A00"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Office Professional </w:t>
            </w:r>
            <w:proofErr w:type="spellStart"/>
            <w:r w:rsidRPr="00355F81">
              <w:rPr>
                <w:rFonts w:ascii="Tahoma" w:hAnsi="Tahoma" w:cs="Tahoma"/>
                <w:color w:val="000000"/>
                <w:sz w:val="22"/>
                <w:szCs w:val="22"/>
              </w:rPr>
              <w:t>Plus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00E67EA5" w14:textId="77150CAF"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25953DC2" w14:textId="30A6ECF9"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696F0FB2" w14:textId="23F191E2"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56EA0317" w14:textId="77777777" w:rsidTr="008127C6">
        <w:trPr>
          <w:trHeight w:val="419"/>
          <w:jc w:val="center"/>
        </w:trPr>
        <w:tc>
          <w:tcPr>
            <w:tcW w:w="608" w:type="dxa"/>
            <w:vAlign w:val="center"/>
          </w:tcPr>
          <w:p w14:paraId="506A1504"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10B52B00" w14:textId="454C598C" w:rsidR="002721DE" w:rsidRPr="00355F81" w:rsidRDefault="002721DE" w:rsidP="008127C6">
            <w:pPr>
              <w:spacing w:line="276" w:lineRule="auto"/>
              <w:rPr>
                <w:rFonts w:ascii="Tahoma" w:hAnsi="Tahoma" w:cs="Tahoma"/>
                <w:color w:val="000000"/>
                <w:sz w:val="22"/>
                <w:szCs w:val="22"/>
              </w:rPr>
            </w:pP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CAL (Microsoft virtualios darbo vietos licencijų paketas)</w:t>
            </w:r>
          </w:p>
        </w:tc>
        <w:tc>
          <w:tcPr>
            <w:tcW w:w="3544" w:type="dxa"/>
            <w:vAlign w:val="center"/>
          </w:tcPr>
          <w:p w14:paraId="113F4BBC" w14:textId="72ABD07B"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CAL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 UCAL</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44492FA2" w14:textId="46689162"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6B52681" w14:textId="7007183B"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2E92F5BC" w14:textId="24F23DF0"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6FA5C41A" w14:textId="77777777" w:rsidTr="008127C6">
        <w:trPr>
          <w:trHeight w:val="419"/>
          <w:jc w:val="center"/>
        </w:trPr>
        <w:tc>
          <w:tcPr>
            <w:tcW w:w="608" w:type="dxa"/>
            <w:vAlign w:val="center"/>
          </w:tcPr>
          <w:p w14:paraId="601D56E4"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609B5314" w14:textId="563B8AE5"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O365 E1 (Microsoft virtualios darbo vietos licencijų paketas)</w:t>
            </w:r>
          </w:p>
        </w:tc>
        <w:tc>
          <w:tcPr>
            <w:tcW w:w="3544" w:type="dxa"/>
            <w:vAlign w:val="center"/>
          </w:tcPr>
          <w:p w14:paraId="41CF0679" w14:textId="446A00C2"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O365 E1 CAO </w:t>
            </w:r>
            <w:proofErr w:type="spellStart"/>
            <w:r w:rsidRPr="00355F81">
              <w:rPr>
                <w:rFonts w:ascii="Tahoma" w:hAnsi="Tahoma" w:cs="Tahoma"/>
                <w:color w:val="000000"/>
                <w:sz w:val="22"/>
                <w:szCs w:val="22"/>
              </w:rPr>
              <w:t>Existing</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Customer</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User</w:t>
            </w:r>
            <w:proofErr w:type="spellEnd"/>
            <w:r w:rsidRPr="00355F81">
              <w:rPr>
                <w:rFonts w:ascii="Tahoma" w:hAnsi="Tahoma" w:cs="Tahoma"/>
                <w:color w:val="000000"/>
                <w:sz w:val="22"/>
                <w:szCs w:val="22"/>
              </w:rPr>
              <w:t xml:space="preserve"> CCAL</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3E38327D" w14:textId="32A7353A"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0CF5B9C8" w14:textId="46C75A50"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9E4F55D" w14:textId="5018C97E"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8127C6" w:rsidRPr="001A66A7" w14:paraId="3ABD9A2D" w14:textId="77777777" w:rsidTr="008127C6">
        <w:trPr>
          <w:trHeight w:val="419"/>
          <w:jc w:val="center"/>
        </w:trPr>
        <w:tc>
          <w:tcPr>
            <w:tcW w:w="608" w:type="dxa"/>
            <w:vAlign w:val="center"/>
          </w:tcPr>
          <w:p w14:paraId="1BB0B325"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64D558A6" w14:textId="4D35B573"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Teams</w:t>
            </w:r>
            <w:proofErr w:type="spellEnd"/>
          </w:p>
        </w:tc>
        <w:tc>
          <w:tcPr>
            <w:tcW w:w="3544" w:type="dxa"/>
            <w:vAlign w:val="center"/>
          </w:tcPr>
          <w:p w14:paraId="67B6B9B6" w14:textId="31ABF8E8" w:rsidR="008127C6" w:rsidRPr="00355F81" w:rsidRDefault="008127C6" w:rsidP="008127C6">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Teams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Enterprise</w:t>
            </w:r>
            <w:proofErr w:type="spellEnd"/>
            <w:r w:rsidRPr="00355F81">
              <w:rPr>
                <w:rFonts w:ascii="Tahoma" w:hAnsi="Tahoma" w:cs="Tahoma"/>
                <w:color w:val="000000"/>
                <w:sz w:val="22"/>
                <w:szCs w:val="22"/>
              </w:rPr>
              <w:t xml:space="preserve"> EEA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67FF5A0D" w14:textId="5AB3D5BF"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100</w:t>
            </w:r>
          </w:p>
        </w:tc>
        <w:tc>
          <w:tcPr>
            <w:tcW w:w="851" w:type="dxa"/>
            <w:vAlign w:val="center"/>
          </w:tcPr>
          <w:p w14:paraId="4A2E83E2" w14:textId="4042FCD9"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100</w:t>
            </w:r>
          </w:p>
        </w:tc>
        <w:tc>
          <w:tcPr>
            <w:tcW w:w="851" w:type="dxa"/>
            <w:vAlign w:val="center"/>
          </w:tcPr>
          <w:p w14:paraId="758642CD" w14:textId="23351C35"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100</w:t>
            </w:r>
          </w:p>
        </w:tc>
      </w:tr>
      <w:tr w:rsidR="008127C6" w:rsidRPr="001A66A7" w14:paraId="7A886E1C" w14:textId="77777777" w:rsidTr="008127C6">
        <w:trPr>
          <w:trHeight w:val="419"/>
          <w:jc w:val="center"/>
        </w:trPr>
        <w:tc>
          <w:tcPr>
            <w:tcW w:w="608" w:type="dxa"/>
            <w:vAlign w:val="center"/>
          </w:tcPr>
          <w:p w14:paraId="0F1C08FA"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41912A59" w14:textId="3DF371F3"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Visio Professional</w:t>
            </w:r>
          </w:p>
        </w:tc>
        <w:tc>
          <w:tcPr>
            <w:tcW w:w="3544" w:type="dxa"/>
            <w:vAlign w:val="center"/>
          </w:tcPr>
          <w:p w14:paraId="791275C4" w14:textId="2D789B5F"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Visio P2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543CCD73" w14:textId="081C8E69"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3BA28853" w14:textId="42CF2B8B"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65549FEF" w14:textId="0C2A3CD4"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r>
      <w:tr w:rsidR="008127C6" w:rsidRPr="001A66A7" w14:paraId="615B9A7A" w14:textId="77777777" w:rsidTr="008127C6">
        <w:trPr>
          <w:trHeight w:val="419"/>
          <w:jc w:val="center"/>
        </w:trPr>
        <w:tc>
          <w:tcPr>
            <w:tcW w:w="608" w:type="dxa"/>
            <w:vAlign w:val="center"/>
          </w:tcPr>
          <w:p w14:paraId="11159791"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04645345" w14:textId="3F674787"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Visual Studio Professional</w:t>
            </w:r>
          </w:p>
        </w:tc>
        <w:tc>
          <w:tcPr>
            <w:tcW w:w="3544" w:type="dxa"/>
            <w:vAlign w:val="center"/>
          </w:tcPr>
          <w:p w14:paraId="17DB3D62" w14:textId="06ED631B"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Visual Studio Pro MSDN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50CE9EBC" w14:textId="109F28AC"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30</w:t>
            </w:r>
          </w:p>
        </w:tc>
        <w:tc>
          <w:tcPr>
            <w:tcW w:w="851" w:type="dxa"/>
            <w:vAlign w:val="center"/>
          </w:tcPr>
          <w:p w14:paraId="21AC6CBD" w14:textId="70B76340"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30</w:t>
            </w:r>
          </w:p>
        </w:tc>
        <w:tc>
          <w:tcPr>
            <w:tcW w:w="851" w:type="dxa"/>
            <w:vAlign w:val="center"/>
          </w:tcPr>
          <w:p w14:paraId="6ED44B59" w14:textId="12479610"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30</w:t>
            </w:r>
          </w:p>
        </w:tc>
      </w:tr>
      <w:tr w:rsidR="008127C6" w:rsidRPr="001A66A7" w14:paraId="01DC7F3D" w14:textId="77777777" w:rsidTr="008127C6">
        <w:trPr>
          <w:trHeight w:val="419"/>
          <w:jc w:val="center"/>
        </w:trPr>
        <w:tc>
          <w:tcPr>
            <w:tcW w:w="608" w:type="dxa"/>
            <w:vAlign w:val="center"/>
          </w:tcPr>
          <w:p w14:paraId="0214596E"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61B77DFE" w14:textId="5D03716C"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Power </w:t>
            </w:r>
            <w:proofErr w:type="spellStart"/>
            <w:r w:rsidRPr="00355F81">
              <w:rPr>
                <w:rFonts w:ascii="Tahoma" w:hAnsi="Tahoma" w:cs="Tahoma"/>
                <w:color w:val="000000"/>
                <w:sz w:val="22"/>
                <w:szCs w:val="22"/>
              </w:rPr>
              <w:t>Apps</w:t>
            </w:r>
            <w:proofErr w:type="spellEnd"/>
            <w:r w:rsidRPr="00355F81">
              <w:rPr>
                <w:rFonts w:ascii="Tahoma" w:hAnsi="Tahoma" w:cs="Tahoma"/>
                <w:color w:val="000000"/>
                <w:sz w:val="22"/>
                <w:szCs w:val="22"/>
              </w:rPr>
              <w:t xml:space="preserve"> Premium</w:t>
            </w:r>
          </w:p>
        </w:tc>
        <w:tc>
          <w:tcPr>
            <w:tcW w:w="3544" w:type="dxa"/>
            <w:vAlign w:val="center"/>
          </w:tcPr>
          <w:p w14:paraId="576964FB" w14:textId="5BFFC33F" w:rsidR="008127C6" w:rsidRPr="00355F81" w:rsidRDefault="006C24C7"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w:t>
            </w:r>
            <w:proofErr w:type="spellStart"/>
            <w:r w:rsidRPr="00355F81">
              <w:rPr>
                <w:rFonts w:ascii="Tahoma" w:hAnsi="Tahoma" w:cs="Tahoma"/>
                <w:color w:val="000000"/>
                <w:sz w:val="22"/>
                <w:szCs w:val="22"/>
              </w:rPr>
              <w:t>Apps</w:t>
            </w:r>
            <w:proofErr w:type="spellEnd"/>
            <w:r w:rsidRPr="00355F81">
              <w:rPr>
                <w:rFonts w:ascii="Tahoma" w:hAnsi="Tahoma" w:cs="Tahoma"/>
                <w:color w:val="000000"/>
                <w:sz w:val="22"/>
                <w:szCs w:val="22"/>
              </w:rPr>
              <w:t xml:space="preserve"> Premium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0153CB67" w14:textId="36F53F7B"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91</w:t>
            </w:r>
          </w:p>
        </w:tc>
        <w:tc>
          <w:tcPr>
            <w:tcW w:w="851" w:type="dxa"/>
            <w:vAlign w:val="center"/>
          </w:tcPr>
          <w:p w14:paraId="06AED635" w14:textId="4BF79B26"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91</w:t>
            </w:r>
          </w:p>
        </w:tc>
        <w:tc>
          <w:tcPr>
            <w:tcW w:w="851" w:type="dxa"/>
            <w:vAlign w:val="center"/>
          </w:tcPr>
          <w:p w14:paraId="7C5C7409" w14:textId="3E0C394D"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91</w:t>
            </w:r>
          </w:p>
        </w:tc>
      </w:tr>
      <w:tr w:rsidR="008127C6" w:rsidRPr="001A66A7" w14:paraId="642A3F35" w14:textId="77777777" w:rsidTr="008127C6">
        <w:trPr>
          <w:trHeight w:val="419"/>
          <w:jc w:val="center"/>
        </w:trPr>
        <w:tc>
          <w:tcPr>
            <w:tcW w:w="608" w:type="dxa"/>
            <w:vAlign w:val="center"/>
          </w:tcPr>
          <w:p w14:paraId="18B98DCB"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21815095" w14:textId="6823274E"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Power Automate Premium</w:t>
            </w:r>
          </w:p>
        </w:tc>
        <w:tc>
          <w:tcPr>
            <w:tcW w:w="3544" w:type="dxa"/>
            <w:vAlign w:val="center"/>
          </w:tcPr>
          <w:p w14:paraId="78FD2191" w14:textId="7DF229D1" w:rsidR="008127C6" w:rsidRPr="00355F81" w:rsidRDefault="006C24C7"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Automate Premium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21FDB5C8" w14:textId="4DA1EEFE"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79</w:t>
            </w:r>
          </w:p>
        </w:tc>
        <w:tc>
          <w:tcPr>
            <w:tcW w:w="851" w:type="dxa"/>
            <w:vAlign w:val="center"/>
          </w:tcPr>
          <w:p w14:paraId="1D33881C" w14:textId="49645D3A"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79</w:t>
            </w:r>
          </w:p>
        </w:tc>
        <w:tc>
          <w:tcPr>
            <w:tcW w:w="851" w:type="dxa"/>
            <w:vAlign w:val="center"/>
          </w:tcPr>
          <w:p w14:paraId="5CF95477" w14:textId="57D7A4AE"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79</w:t>
            </w:r>
          </w:p>
        </w:tc>
      </w:tr>
      <w:tr w:rsidR="008127C6" w:rsidRPr="001A66A7" w14:paraId="3A6468DE" w14:textId="77777777" w:rsidTr="008127C6">
        <w:trPr>
          <w:trHeight w:val="419"/>
          <w:jc w:val="center"/>
        </w:trPr>
        <w:tc>
          <w:tcPr>
            <w:tcW w:w="608" w:type="dxa"/>
            <w:vAlign w:val="center"/>
          </w:tcPr>
          <w:p w14:paraId="658021E8"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7FA1BE09" w14:textId="27A7CAD5"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Power Automate </w:t>
            </w:r>
            <w:proofErr w:type="spellStart"/>
            <w:r w:rsidRPr="00355F81">
              <w:rPr>
                <w:rFonts w:ascii="Tahoma" w:hAnsi="Tahoma" w:cs="Tahoma"/>
                <w:color w:val="000000"/>
                <w:sz w:val="22"/>
                <w:szCs w:val="22"/>
              </w:rPr>
              <w:t>Process</w:t>
            </w:r>
            <w:proofErr w:type="spellEnd"/>
            <w:r w:rsidRPr="00355F81">
              <w:rPr>
                <w:rFonts w:ascii="Tahoma" w:hAnsi="Tahoma" w:cs="Tahoma"/>
                <w:color w:val="000000"/>
                <w:sz w:val="22"/>
                <w:szCs w:val="22"/>
              </w:rPr>
              <w:t xml:space="preserve"> </w:t>
            </w:r>
          </w:p>
        </w:tc>
        <w:tc>
          <w:tcPr>
            <w:tcW w:w="3544" w:type="dxa"/>
            <w:vAlign w:val="center"/>
          </w:tcPr>
          <w:p w14:paraId="7B0449AA" w14:textId="4E3B2046" w:rsidR="008127C6" w:rsidRPr="00355F81" w:rsidRDefault="006C24C7"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Automate </w:t>
            </w:r>
            <w:proofErr w:type="spellStart"/>
            <w:r w:rsidRPr="00355F81">
              <w:rPr>
                <w:rFonts w:ascii="Tahoma" w:hAnsi="Tahoma" w:cs="Tahoma"/>
                <w:color w:val="000000"/>
                <w:sz w:val="22"/>
                <w:szCs w:val="22"/>
              </w:rPr>
              <w:t>Process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6E8AFC43" w14:textId="2178E3EE"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64FC79C5" w14:textId="4929115C"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4D855E7" w14:textId="11286271"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8127C6" w:rsidRPr="001A66A7" w14:paraId="6717D809" w14:textId="77777777" w:rsidTr="008127C6">
        <w:trPr>
          <w:trHeight w:val="419"/>
          <w:jc w:val="center"/>
        </w:trPr>
        <w:tc>
          <w:tcPr>
            <w:tcW w:w="608" w:type="dxa"/>
            <w:vAlign w:val="center"/>
          </w:tcPr>
          <w:p w14:paraId="796C5FB5"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4DA0A760" w14:textId="10443A2F"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Power BI Premium</w:t>
            </w:r>
          </w:p>
        </w:tc>
        <w:tc>
          <w:tcPr>
            <w:tcW w:w="3544" w:type="dxa"/>
            <w:vAlign w:val="center"/>
          </w:tcPr>
          <w:p w14:paraId="2741FB32" w14:textId="4D520641"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BI Premium USL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294E8787" w14:textId="0F2B8030"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4B22221" w14:textId="57D8C1FF"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00D42EE6" w14:textId="435E88F0"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8127C6" w:rsidRPr="001A66A7" w14:paraId="2940DE30" w14:textId="77777777" w:rsidTr="008127C6">
        <w:trPr>
          <w:trHeight w:val="419"/>
          <w:jc w:val="center"/>
        </w:trPr>
        <w:tc>
          <w:tcPr>
            <w:tcW w:w="608" w:type="dxa"/>
            <w:vAlign w:val="center"/>
          </w:tcPr>
          <w:p w14:paraId="46E50D4F"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5C3C7C6B" w14:textId="5454909B"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Power BI Pro</w:t>
            </w:r>
          </w:p>
        </w:tc>
        <w:tc>
          <w:tcPr>
            <w:tcW w:w="3544" w:type="dxa"/>
            <w:vAlign w:val="center"/>
          </w:tcPr>
          <w:p w14:paraId="177E0438" w14:textId="5EC6C9DF"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BI Pro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587488AC" w14:textId="6E8F9828"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09AC0E65" w14:textId="61C41AF9"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28B0FF5A" w14:textId="705A3445"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r>
      <w:tr w:rsidR="008127C6" w:rsidRPr="001A66A7" w14:paraId="0663B350" w14:textId="77777777" w:rsidTr="008127C6">
        <w:trPr>
          <w:trHeight w:val="419"/>
          <w:jc w:val="center"/>
        </w:trPr>
        <w:tc>
          <w:tcPr>
            <w:tcW w:w="608" w:type="dxa"/>
            <w:vAlign w:val="center"/>
          </w:tcPr>
          <w:p w14:paraId="1100A834"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614187A3" w14:textId="4B3C783A" w:rsidR="008127C6" w:rsidRPr="00355F81" w:rsidRDefault="008127C6" w:rsidP="008127C6">
            <w:pPr>
              <w:spacing w:line="276" w:lineRule="auto"/>
              <w:rPr>
                <w:rFonts w:ascii="Tahoma" w:hAnsi="Tahoma" w:cs="Tahoma"/>
                <w:color w:val="000000"/>
                <w:sz w:val="22"/>
                <w:szCs w:val="22"/>
              </w:rPr>
            </w:pPr>
            <w:proofErr w:type="spellStart"/>
            <w:r w:rsidRPr="00355F81">
              <w:rPr>
                <w:rFonts w:ascii="Tahoma" w:hAnsi="Tahoma" w:cs="Tahoma"/>
                <w:color w:val="000000"/>
                <w:sz w:val="22"/>
                <w:szCs w:val="22"/>
              </w:rPr>
              <w:t>Azure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prepayment</w:t>
            </w:r>
            <w:proofErr w:type="spellEnd"/>
          </w:p>
        </w:tc>
        <w:tc>
          <w:tcPr>
            <w:tcW w:w="3544" w:type="dxa"/>
            <w:vAlign w:val="center"/>
          </w:tcPr>
          <w:p w14:paraId="29FD73A0" w14:textId="0B3B5D30" w:rsidR="008127C6" w:rsidRPr="00355F81" w:rsidRDefault="006C24C7" w:rsidP="008127C6">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Azure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prepayment</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7B497AD1" w14:textId="15CD28CD"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4CF99EE2" w14:textId="3B4BACEE"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1F5120CA" w14:textId="4F943619"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r>
    </w:tbl>
    <w:bookmarkEnd w:id="0"/>
    <w:p w14:paraId="2055E9AB" w14:textId="07919DEB" w:rsidR="00C632EF" w:rsidRPr="001A66A7" w:rsidRDefault="00EF7C0C" w:rsidP="00A75D44">
      <w:pPr>
        <w:pStyle w:val="ListParagraph"/>
        <w:numPr>
          <w:ilvl w:val="0"/>
          <w:numId w:val="15"/>
        </w:numPr>
        <w:tabs>
          <w:tab w:val="left" w:pos="0"/>
        </w:tabs>
        <w:spacing w:line="276" w:lineRule="auto"/>
        <w:ind w:left="0" w:firstLine="851"/>
        <w:rPr>
          <w:rFonts w:ascii="Tahoma" w:hAnsi="Tahoma"/>
        </w:rPr>
      </w:pPr>
      <w:r w:rsidRPr="001A66A7">
        <w:rPr>
          <w:rFonts w:ascii="Tahoma" w:hAnsi="Tahoma"/>
        </w:rPr>
        <w:t xml:space="preserve">Perkančioji organizacija </w:t>
      </w:r>
      <w:r w:rsidR="001A66A7">
        <w:rPr>
          <w:rFonts w:ascii="Tahoma" w:hAnsi="Tahoma"/>
        </w:rPr>
        <w:t>licencijų</w:t>
      </w:r>
      <w:r w:rsidR="00A00C0D" w:rsidRPr="001A66A7">
        <w:rPr>
          <w:rFonts w:ascii="Tahoma" w:hAnsi="Tahoma"/>
        </w:rPr>
        <w:t xml:space="preserve"> galiojimo</w:t>
      </w:r>
      <w:r w:rsidR="003D5FC8" w:rsidRPr="001A66A7">
        <w:rPr>
          <w:rFonts w:ascii="Tahoma" w:hAnsi="Tahoma"/>
        </w:rPr>
        <w:t xml:space="preserve"> </w:t>
      </w:r>
      <w:r w:rsidR="00AF397C" w:rsidRPr="001A66A7">
        <w:rPr>
          <w:rFonts w:ascii="Tahoma" w:hAnsi="Tahoma"/>
        </w:rPr>
        <w:t>laikotarpiu</w:t>
      </w:r>
      <w:r w:rsidR="00082998" w:rsidRPr="001A66A7">
        <w:rPr>
          <w:rFonts w:ascii="Tahoma" w:hAnsi="Tahoma"/>
        </w:rPr>
        <w:t xml:space="preserve"> </w:t>
      </w:r>
      <w:r w:rsidRPr="001A66A7">
        <w:rPr>
          <w:rFonts w:ascii="Tahoma" w:hAnsi="Tahoma"/>
        </w:rPr>
        <w:t>turi turėti</w:t>
      </w:r>
      <w:r w:rsidR="00A00C0D" w:rsidRPr="001A66A7">
        <w:rPr>
          <w:rFonts w:ascii="Tahoma" w:hAnsi="Tahoma"/>
        </w:rPr>
        <w:t>:</w:t>
      </w:r>
    </w:p>
    <w:p w14:paraId="4076A0BA" w14:textId="6B76D1BF" w:rsidR="00403160" w:rsidRPr="001A66A7" w:rsidRDefault="0027608F" w:rsidP="00A75D44">
      <w:pPr>
        <w:pStyle w:val="ListParagraph"/>
        <w:numPr>
          <w:ilvl w:val="1"/>
          <w:numId w:val="15"/>
        </w:numPr>
        <w:tabs>
          <w:tab w:val="clear" w:pos="851"/>
          <w:tab w:val="left" w:pos="0"/>
          <w:tab w:val="left" w:pos="1701"/>
        </w:tabs>
        <w:spacing w:line="276" w:lineRule="auto"/>
        <w:ind w:left="0" w:firstLine="1134"/>
        <w:rPr>
          <w:rFonts w:ascii="Tahoma" w:hAnsi="Tahoma"/>
          <w:lang w:eastAsia="lt-LT"/>
        </w:rPr>
      </w:pPr>
      <w:r w:rsidRPr="001A66A7">
        <w:rPr>
          <w:rFonts w:ascii="Tahoma" w:hAnsi="Tahoma"/>
        </w:rPr>
        <w:t>Galimybę atsisiųsti iš gamintojo portalo gamintojo išleidžiamas naujas versijas ir kartu pateikiamą dokumentaciją</w:t>
      </w:r>
      <w:r w:rsidR="007E3A6F" w:rsidRPr="001A66A7">
        <w:rPr>
          <w:rFonts w:ascii="Tahoma" w:hAnsi="Tahoma"/>
        </w:rPr>
        <w:t>,</w:t>
      </w:r>
      <w:r w:rsidRPr="001A66A7">
        <w:rPr>
          <w:rFonts w:ascii="Tahoma" w:hAnsi="Tahoma"/>
        </w:rPr>
        <w:t xml:space="preserve"> programinės įrangos </w:t>
      </w:r>
      <w:r w:rsidR="00427B2E" w:rsidRPr="001A66A7">
        <w:rPr>
          <w:rFonts w:ascii="Tahoma" w:hAnsi="Tahoma"/>
        </w:rPr>
        <w:t>naujinimus</w:t>
      </w:r>
      <w:r w:rsidRPr="001A66A7">
        <w:rPr>
          <w:rFonts w:ascii="Tahoma" w:hAnsi="Tahoma"/>
        </w:rPr>
        <w:t xml:space="preserve">, klaidų </w:t>
      </w:r>
      <w:r w:rsidR="009079CC" w:rsidRPr="001A66A7">
        <w:rPr>
          <w:rFonts w:ascii="Tahoma" w:hAnsi="Tahoma"/>
        </w:rPr>
        <w:t xml:space="preserve">pataisas bei saugos </w:t>
      </w:r>
      <w:r w:rsidR="00A75D44" w:rsidRPr="001A66A7">
        <w:rPr>
          <w:rFonts w:ascii="Tahoma" w:hAnsi="Tahoma"/>
        </w:rPr>
        <w:t>perspėjimus.</w:t>
      </w:r>
    </w:p>
    <w:p w14:paraId="119FC9DE" w14:textId="7863FCE9" w:rsidR="00D33CF0" w:rsidRPr="001A66A7" w:rsidRDefault="001A66A7" w:rsidP="00A75D44">
      <w:pPr>
        <w:pStyle w:val="ListParagraph"/>
        <w:numPr>
          <w:ilvl w:val="0"/>
          <w:numId w:val="15"/>
        </w:numPr>
        <w:tabs>
          <w:tab w:val="left" w:pos="0"/>
        </w:tabs>
        <w:spacing w:line="276" w:lineRule="auto"/>
        <w:ind w:left="0" w:firstLine="851"/>
        <w:rPr>
          <w:rFonts w:ascii="Tahoma" w:hAnsi="Tahoma"/>
        </w:rPr>
      </w:pPr>
      <w:r>
        <w:rPr>
          <w:rFonts w:ascii="Tahoma" w:hAnsi="Tahoma"/>
        </w:rPr>
        <w:t>Licencijos</w:t>
      </w:r>
      <w:r w:rsidR="00A00C0D" w:rsidRPr="001A66A7">
        <w:rPr>
          <w:rFonts w:ascii="Tahoma" w:hAnsi="Tahoma"/>
        </w:rPr>
        <w:t xml:space="preserve"> turi atitikti</w:t>
      </w:r>
      <w:r w:rsidR="0080188C" w:rsidRPr="001A66A7">
        <w:rPr>
          <w:rFonts w:ascii="Tahoma" w:hAnsi="Tahoma"/>
        </w:rPr>
        <w:t xml:space="preserve"> standartines programinės įrangos gamintojo nustatytas sąlygas ir tvarką</w:t>
      </w:r>
      <w:r w:rsidR="00403160" w:rsidRPr="001A66A7">
        <w:rPr>
          <w:rFonts w:ascii="Tahoma" w:hAnsi="Tahoma"/>
        </w:rPr>
        <w:t xml:space="preserve"> (angl. </w:t>
      </w:r>
      <w:r w:rsidR="00403160" w:rsidRPr="001A66A7">
        <w:rPr>
          <w:rFonts w:ascii="Tahoma" w:hAnsi="Tahoma"/>
          <w:i/>
          <w:iCs/>
          <w:lang w:val="en-US"/>
        </w:rPr>
        <w:t>Terms and conditions</w:t>
      </w:r>
      <w:r w:rsidR="00403160" w:rsidRPr="001A66A7">
        <w:rPr>
          <w:rFonts w:ascii="Tahoma" w:hAnsi="Tahoma"/>
        </w:rPr>
        <w:t>).</w:t>
      </w:r>
    </w:p>
    <w:p w14:paraId="080483D3" w14:textId="2EEA6DDB" w:rsidR="00780A28" w:rsidRDefault="00A00C0D" w:rsidP="00A75D44">
      <w:pPr>
        <w:pStyle w:val="ListParagraph"/>
        <w:numPr>
          <w:ilvl w:val="0"/>
          <w:numId w:val="15"/>
        </w:numPr>
        <w:spacing w:line="276" w:lineRule="auto"/>
        <w:ind w:left="0" w:firstLine="851"/>
        <w:rPr>
          <w:rFonts w:ascii="Tahoma" w:hAnsi="Tahoma"/>
        </w:rPr>
      </w:pPr>
      <w:r w:rsidRPr="001A66A7">
        <w:rPr>
          <w:rFonts w:ascii="Tahoma" w:hAnsi="Tahoma"/>
        </w:rPr>
        <w:t xml:space="preserve">Komunikacija dėl </w:t>
      </w:r>
      <w:r w:rsidR="001A66A7">
        <w:rPr>
          <w:rFonts w:ascii="Tahoma" w:hAnsi="Tahoma"/>
        </w:rPr>
        <w:t>licencijų</w:t>
      </w:r>
      <w:r w:rsidR="004E4735" w:rsidRPr="001A66A7">
        <w:rPr>
          <w:rFonts w:ascii="Tahoma" w:hAnsi="Tahoma"/>
        </w:rPr>
        <w:t xml:space="preserve"> </w:t>
      </w:r>
      <w:r w:rsidRPr="001A66A7">
        <w:rPr>
          <w:rFonts w:ascii="Tahoma" w:hAnsi="Tahoma"/>
        </w:rPr>
        <w:t>vykdoma</w:t>
      </w:r>
      <w:r w:rsidR="004E4735" w:rsidRPr="001A66A7">
        <w:rPr>
          <w:rFonts w:ascii="Tahoma" w:hAnsi="Tahoma"/>
        </w:rPr>
        <w:t xml:space="preserve"> lietuvių ir/ar anglų kalba.</w:t>
      </w:r>
    </w:p>
    <w:p w14:paraId="636D9C65" w14:textId="77777777" w:rsidR="00523541" w:rsidRPr="001A66A7" w:rsidRDefault="00523541" w:rsidP="00523541">
      <w:pPr>
        <w:pStyle w:val="ListParagraph"/>
        <w:spacing w:line="276" w:lineRule="auto"/>
        <w:ind w:left="851"/>
        <w:rPr>
          <w:rFonts w:ascii="Tahoma" w:hAnsi="Tahoma"/>
        </w:rPr>
      </w:pPr>
    </w:p>
    <w:p w14:paraId="495119DB" w14:textId="77777777" w:rsidR="001A66A7" w:rsidRPr="00717578" w:rsidRDefault="001A66A7" w:rsidP="00D45700">
      <w:pPr>
        <w:spacing w:line="276" w:lineRule="auto"/>
        <w:rPr>
          <w:rFonts w:ascii="Tahoma" w:hAnsi="Tahoma"/>
        </w:rPr>
      </w:pPr>
    </w:p>
    <w:p w14:paraId="4FE40317" w14:textId="7CB2E356" w:rsidR="007E3A6F" w:rsidRPr="001A66A7" w:rsidRDefault="009079CC" w:rsidP="000110E7">
      <w:pPr>
        <w:tabs>
          <w:tab w:val="clear" w:pos="851"/>
        </w:tabs>
        <w:spacing w:line="259" w:lineRule="auto"/>
        <w:ind w:left="360"/>
        <w:jc w:val="center"/>
        <w:rPr>
          <w:rFonts w:ascii="Tahoma" w:hAnsi="Tahoma"/>
          <w:b/>
          <w:bCs/>
        </w:rPr>
      </w:pPr>
      <w:r w:rsidRPr="001A66A7">
        <w:rPr>
          <w:rFonts w:ascii="Tahoma" w:hAnsi="Tahoma"/>
          <w:b/>
          <w:bCs/>
        </w:rPr>
        <w:t>III</w:t>
      </w:r>
      <w:r w:rsidR="007E3A6F" w:rsidRPr="001A66A7">
        <w:rPr>
          <w:rFonts w:ascii="Tahoma" w:hAnsi="Tahoma"/>
          <w:b/>
          <w:bCs/>
        </w:rPr>
        <w:t>. TAIKOMI APLINKOS APSAUGOS REIKALAVIMAI</w:t>
      </w:r>
    </w:p>
    <w:p w14:paraId="79577C38" w14:textId="77777777" w:rsidR="007E3A6F" w:rsidRPr="001A66A7" w:rsidRDefault="007E3A6F" w:rsidP="007E3A6F">
      <w:pPr>
        <w:pStyle w:val="ListParagraph"/>
        <w:tabs>
          <w:tab w:val="left" w:pos="1276"/>
          <w:tab w:val="left" w:pos="1701"/>
        </w:tabs>
        <w:ind w:left="927"/>
        <w:rPr>
          <w:rFonts w:ascii="Tahoma" w:hAnsi="Tahoma"/>
        </w:rPr>
      </w:pPr>
    </w:p>
    <w:p w14:paraId="576B40AD" w14:textId="7D924F3E" w:rsidR="00E20BC8" w:rsidRPr="001A66A7" w:rsidRDefault="00A0073B" w:rsidP="00A75D44">
      <w:pPr>
        <w:pStyle w:val="ListParagraph"/>
        <w:numPr>
          <w:ilvl w:val="0"/>
          <w:numId w:val="15"/>
        </w:numPr>
        <w:tabs>
          <w:tab w:val="clear" w:pos="851"/>
          <w:tab w:val="left" w:pos="0"/>
        </w:tabs>
        <w:spacing w:line="276" w:lineRule="auto"/>
        <w:ind w:left="0" w:firstLine="851"/>
        <w:rPr>
          <w:rFonts w:ascii="Tahoma" w:hAnsi="Tahoma"/>
          <w:lang w:eastAsia="ar-SA"/>
        </w:rPr>
      </w:pPr>
      <w:bookmarkStart w:id="1" w:name="_Hlk167962710"/>
      <w:r w:rsidRPr="001A66A7">
        <w:rPr>
          <w:rFonts w:ascii="Tahoma" w:hAnsi="Tahoma"/>
        </w:rPr>
        <w:t xml:space="preserve">Atsižvelgiant į tai, kad perkamos </w:t>
      </w:r>
      <w:r w:rsidR="001A66A7">
        <w:rPr>
          <w:rFonts w:ascii="Tahoma" w:hAnsi="Tahoma"/>
        </w:rPr>
        <w:t>licencijos</w:t>
      </w:r>
      <w:r w:rsidRPr="001A66A7">
        <w:rPr>
          <w:rFonts w:ascii="Tahoma" w:hAnsi="Tahoma"/>
        </w:rPr>
        <w:t xml:space="preserve"> yra programinė įranga, vadovaujantis Aplinkos apsaugos kriterijų taikymo, vykdant žaliuosius pirkimus, tvarkos aprašo, patvirtinto Lietuvos Respublikos aplinkos ministro 2011 m. birželio 28 d. įsakymu Nr. D1-508, 4.4.3. p Pirkimas laikomas žaliuoju</w:t>
      </w:r>
      <w:bookmarkEnd w:id="1"/>
      <w:r w:rsidRPr="001A66A7">
        <w:rPr>
          <w:rFonts w:ascii="Tahoma" w:hAnsi="Tahoma"/>
        </w:rPr>
        <w:t>.</w:t>
      </w:r>
      <w:r w:rsidRPr="001A66A7">
        <w:rPr>
          <w:rFonts w:ascii="Tahoma" w:hAnsi="Tahoma"/>
          <w:lang w:val="en-US"/>
        </w:rPr>
        <w:t xml:space="preserve"> </w:t>
      </w:r>
    </w:p>
    <w:p w14:paraId="4AD1978E" w14:textId="154DD5AE" w:rsidR="00D772FC" w:rsidRPr="001A66A7" w:rsidRDefault="00D772FC" w:rsidP="00C36555">
      <w:pPr>
        <w:tabs>
          <w:tab w:val="clear" w:pos="851"/>
        </w:tabs>
        <w:jc w:val="center"/>
        <w:rPr>
          <w:rFonts w:ascii="Tahoma" w:hAnsi="Tahoma"/>
          <w:caps/>
        </w:rPr>
      </w:pPr>
      <w:r w:rsidRPr="00717578">
        <w:rPr>
          <w:rFonts w:ascii="Tahoma" w:hAnsi="Tahoma"/>
          <w:i/>
          <w:iCs/>
        </w:rPr>
        <w:t>________________________</w:t>
      </w:r>
    </w:p>
    <w:sectPr w:rsidR="00D772FC" w:rsidRPr="001A66A7" w:rsidSect="00FA76F0">
      <w:headerReference w:type="default" r:id="rId9"/>
      <w:footerReference w:type="default" r:id="rId10"/>
      <w:headerReference w:type="first" r:id="rId11"/>
      <w:footerReference w:type="first" r:id="rId12"/>
      <w:pgSz w:w="11906" w:h="16838"/>
      <w:pgMar w:top="851" w:right="567" w:bottom="567"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C43F" w14:textId="77777777" w:rsidR="00BD25A2" w:rsidRDefault="00BD25A2" w:rsidP="00BE135E">
      <w:r>
        <w:separator/>
      </w:r>
    </w:p>
  </w:endnote>
  <w:endnote w:type="continuationSeparator" w:id="0">
    <w:p w14:paraId="684D3B10" w14:textId="77777777" w:rsidR="00BD25A2" w:rsidRDefault="00BD25A2" w:rsidP="00BE135E">
      <w:r>
        <w:continuationSeparator/>
      </w:r>
    </w:p>
  </w:endnote>
  <w:endnote w:type="continuationNotice" w:id="1">
    <w:p w14:paraId="25833D12" w14:textId="77777777" w:rsidR="00BD25A2" w:rsidRDefault="00BD2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Header"/>
            <w:ind w:left="-115"/>
            <w:jc w:val="left"/>
          </w:pPr>
        </w:p>
      </w:tc>
      <w:tc>
        <w:tcPr>
          <w:tcW w:w="3255" w:type="dxa"/>
        </w:tcPr>
        <w:p w14:paraId="4AAC6082" w14:textId="45FB38F4" w:rsidR="235FBA3D" w:rsidRDefault="235FBA3D" w:rsidP="235FBA3D">
          <w:pPr>
            <w:pStyle w:val="Header"/>
            <w:jc w:val="center"/>
          </w:pPr>
        </w:p>
      </w:tc>
      <w:tc>
        <w:tcPr>
          <w:tcW w:w="3255" w:type="dxa"/>
        </w:tcPr>
        <w:p w14:paraId="62F42607" w14:textId="0C245194" w:rsidR="235FBA3D" w:rsidRDefault="235FBA3D" w:rsidP="235FBA3D">
          <w:pPr>
            <w:pStyle w:val="Header"/>
            <w:ind w:right="-115"/>
            <w:jc w:val="right"/>
          </w:pPr>
        </w:p>
      </w:tc>
    </w:tr>
  </w:tbl>
  <w:p w14:paraId="56C6B976" w14:textId="05345A65" w:rsidR="235FBA3D" w:rsidRDefault="235FBA3D" w:rsidP="235FB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Header"/>
            <w:ind w:left="-115"/>
            <w:jc w:val="left"/>
          </w:pPr>
        </w:p>
      </w:tc>
      <w:tc>
        <w:tcPr>
          <w:tcW w:w="3255" w:type="dxa"/>
        </w:tcPr>
        <w:p w14:paraId="1E870E38" w14:textId="79939A86" w:rsidR="235FBA3D" w:rsidRDefault="235FBA3D" w:rsidP="235FBA3D">
          <w:pPr>
            <w:pStyle w:val="Header"/>
            <w:jc w:val="center"/>
          </w:pPr>
        </w:p>
      </w:tc>
      <w:tc>
        <w:tcPr>
          <w:tcW w:w="3255" w:type="dxa"/>
        </w:tcPr>
        <w:p w14:paraId="3DCB6690" w14:textId="516E0EC1" w:rsidR="235FBA3D" w:rsidRDefault="235FBA3D" w:rsidP="235FBA3D">
          <w:pPr>
            <w:pStyle w:val="Header"/>
            <w:ind w:right="-115"/>
            <w:jc w:val="right"/>
          </w:pPr>
        </w:p>
      </w:tc>
    </w:tr>
  </w:tbl>
  <w:p w14:paraId="561A43BC" w14:textId="6AD3C2CC" w:rsidR="235FBA3D" w:rsidRDefault="235FBA3D" w:rsidP="235FB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C5BD" w14:textId="77777777" w:rsidR="00BD25A2" w:rsidRDefault="00BD25A2" w:rsidP="00BE135E">
      <w:r>
        <w:separator/>
      </w:r>
    </w:p>
  </w:footnote>
  <w:footnote w:type="continuationSeparator" w:id="0">
    <w:p w14:paraId="17373336" w14:textId="77777777" w:rsidR="00BD25A2" w:rsidRDefault="00BD25A2" w:rsidP="00BE135E">
      <w:r>
        <w:continuationSeparator/>
      </w:r>
    </w:p>
  </w:footnote>
  <w:footnote w:type="continuationNotice" w:id="1">
    <w:p w14:paraId="0FA4558F" w14:textId="77777777" w:rsidR="00BD25A2" w:rsidRDefault="00BD2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Header"/>
            <w:ind w:left="-115"/>
            <w:jc w:val="left"/>
          </w:pPr>
        </w:p>
      </w:tc>
      <w:tc>
        <w:tcPr>
          <w:tcW w:w="2820" w:type="dxa"/>
        </w:tcPr>
        <w:p w14:paraId="7626FADF" w14:textId="715339EE" w:rsidR="235FBA3D" w:rsidRDefault="235FBA3D" w:rsidP="235FBA3D">
          <w:pPr>
            <w:pStyle w:val="Header"/>
            <w:jc w:val="center"/>
          </w:pPr>
        </w:p>
      </w:tc>
    </w:tr>
  </w:tbl>
  <w:p w14:paraId="5346B142" w14:textId="4D2F674D" w:rsidR="235FBA3D" w:rsidRDefault="235FBA3D" w:rsidP="235FB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80"/>
      <w:gridCol w:w="3630"/>
    </w:tblGrid>
    <w:tr w:rsidR="235FBA3D" w14:paraId="045FFCFA" w14:textId="77777777" w:rsidTr="235FBA3D">
      <w:trPr>
        <w:trHeight w:val="300"/>
      </w:trPr>
      <w:tc>
        <w:tcPr>
          <w:tcW w:w="3255" w:type="dxa"/>
        </w:tcPr>
        <w:p w14:paraId="7A67BB87" w14:textId="0A0891E9" w:rsidR="235FBA3D" w:rsidRDefault="235FBA3D" w:rsidP="235FBA3D">
          <w:pPr>
            <w:pStyle w:val="Header"/>
            <w:ind w:left="-115"/>
            <w:jc w:val="left"/>
          </w:pPr>
        </w:p>
      </w:tc>
      <w:tc>
        <w:tcPr>
          <w:tcW w:w="2880" w:type="dxa"/>
        </w:tcPr>
        <w:p w14:paraId="515213E9" w14:textId="279844B4" w:rsidR="235FBA3D" w:rsidRDefault="235FBA3D" w:rsidP="235FBA3D">
          <w:pPr>
            <w:pStyle w:val="Header"/>
            <w:jc w:val="center"/>
          </w:pPr>
        </w:p>
      </w:tc>
      <w:tc>
        <w:tcPr>
          <w:tcW w:w="3630" w:type="dxa"/>
        </w:tcPr>
        <w:p w14:paraId="3C17E450" w14:textId="5C135D4B" w:rsidR="235FBA3D" w:rsidRDefault="235FBA3D" w:rsidP="235FBA3D">
          <w:pPr>
            <w:pStyle w:val="Header"/>
            <w:ind w:right="-115"/>
            <w:jc w:val="right"/>
          </w:pPr>
        </w:p>
      </w:tc>
    </w:tr>
  </w:tbl>
  <w:p w14:paraId="573E50BA" w14:textId="33AA6EEC" w:rsidR="235FBA3D" w:rsidRDefault="235FBA3D" w:rsidP="235FB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0"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53BE7"/>
    <w:multiLevelType w:val="multilevel"/>
    <w:tmpl w:val="0E40F20C"/>
    <w:lvl w:ilvl="0">
      <w:start w:val="1"/>
      <w:numFmt w:val="decimal"/>
      <w:lvlText w:val="%1."/>
      <w:lvlJc w:val="left"/>
      <w:pPr>
        <w:ind w:left="1070" w:hanging="360"/>
      </w:pPr>
      <w:rPr>
        <w:i w:val="0"/>
        <w:iCs w:val="0"/>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6757D"/>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4"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8" w15:restartNumberingAfterBreak="0">
    <w:nsid w:val="5B273AB8"/>
    <w:multiLevelType w:val="multilevel"/>
    <w:tmpl w:val="C1BCC2AE"/>
    <w:lvl w:ilvl="0">
      <w:start w:val="1"/>
      <w:numFmt w:val="decimal"/>
      <w:lvlText w:val="%1."/>
      <w:lvlJc w:val="left"/>
      <w:pPr>
        <w:ind w:left="1070" w:hanging="360"/>
      </w:pPr>
      <w:rPr>
        <w:i w:val="0"/>
        <w:iCs w:val="0"/>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20"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1"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3" w15:restartNumberingAfterBreak="0">
    <w:nsid w:val="6B31720A"/>
    <w:multiLevelType w:val="hybridMultilevel"/>
    <w:tmpl w:val="7812B424"/>
    <w:lvl w:ilvl="0" w:tplc="C6205B58">
      <w:numFmt w:val="bullet"/>
      <w:lvlText w:val="-"/>
      <w:lvlJc w:val="left"/>
      <w:pPr>
        <w:ind w:left="1430" w:hanging="360"/>
      </w:pPr>
      <w:rPr>
        <w:rFonts w:ascii="Tahoma" w:eastAsia="Times New Roman" w:hAnsi="Tahoma" w:cs="Tahoma"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584798">
    <w:abstractNumId w:val="14"/>
  </w:num>
  <w:num w:numId="2" w16cid:durableId="145922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17"/>
  </w:num>
  <w:num w:numId="4" w16cid:durableId="1530490424">
    <w:abstractNumId w:val="16"/>
  </w:num>
  <w:num w:numId="5" w16cid:durableId="466434081">
    <w:abstractNumId w:val="19"/>
  </w:num>
  <w:num w:numId="6" w16cid:durableId="1813059365">
    <w:abstractNumId w:val="22"/>
  </w:num>
  <w:num w:numId="7" w16cid:durableId="1433552660">
    <w:abstractNumId w:val="0"/>
  </w:num>
  <w:num w:numId="8" w16cid:durableId="166797045">
    <w:abstractNumId w:val="7"/>
  </w:num>
  <w:num w:numId="9" w16cid:durableId="973681508">
    <w:abstractNumId w:val="26"/>
  </w:num>
  <w:num w:numId="10" w16cid:durableId="773400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24"/>
  </w:num>
  <w:num w:numId="12" w16cid:durableId="1049691340">
    <w:abstractNumId w:val="20"/>
  </w:num>
  <w:num w:numId="13" w16cid:durableId="1209880494">
    <w:abstractNumId w:val="21"/>
  </w:num>
  <w:num w:numId="14" w16cid:durableId="169494291">
    <w:abstractNumId w:val="2"/>
  </w:num>
  <w:num w:numId="15" w16cid:durableId="2035183369">
    <w:abstractNumId w:val="11"/>
  </w:num>
  <w:num w:numId="16" w16cid:durableId="1306474610">
    <w:abstractNumId w:val="6"/>
  </w:num>
  <w:num w:numId="17" w16cid:durableId="242877827">
    <w:abstractNumId w:val="13"/>
  </w:num>
  <w:num w:numId="18" w16cid:durableId="1915969396">
    <w:abstractNumId w:val="8"/>
  </w:num>
  <w:num w:numId="19" w16cid:durableId="557395363">
    <w:abstractNumId w:val="10"/>
  </w:num>
  <w:num w:numId="20" w16cid:durableId="799229189">
    <w:abstractNumId w:val="5"/>
  </w:num>
  <w:num w:numId="21" w16cid:durableId="1333492397">
    <w:abstractNumId w:val="29"/>
  </w:num>
  <w:num w:numId="22" w16cid:durableId="355232829">
    <w:abstractNumId w:val="9"/>
  </w:num>
  <w:num w:numId="23" w16cid:durableId="1500584685">
    <w:abstractNumId w:val="27"/>
  </w:num>
  <w:num w:numId="24" w16cid:durableId="149951934">
    <w:abstractNumId w:val="3"/>
  </w:num>
  <w:num w:numId="25" w16cid:durableId="546181204">
    <w:abstractNumId w:val="1"/>
  </w:num>
  <w:num w:numId="26" w16cid:durableId="238827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28"/>
  </w:num>
  <w:num w:numId="28" w16cid:durableId="485517640">
    <w:abstractNumId w:val="25"/>
  </w:num>
  <w:num w:numId="29" w16cid:durableId="520893504">
    <w:abstractNumId w:val="12"/>
  </w:num>
  <w:num w:numId="30" w16cid:durableId="1511289649">
    <w:abstractNumId w:val="18"/>
  </w:num>
  <w:num w:numId="31" w16cid:durableId="6522221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10E7"/>
    <w:rsid w:val="00035FD8"/>
    <w:rsid w:val="00043026"/>
    <w:rsid w:val="00045F45"/>
    <w:rsid w:val="00050DCC"/>
    <w:rsid w:val="00054783"/>
    <w:rsid w:val="0007044A"/>
    <w:rsid w:val="00075E01"/>
    <w:rsid w:val="00076960"/>
    <w:rsid w:val="000823B3"/>
    <w:rsid w:val="00082998"/>
    <w:rsid w:val="00091F40"/>
    <w:rsid w:val="000924D0"/>
    <w:rsid w:val="000961E9"/>
    <w:rsid w:val="000A2782"/>
    <w:rsid w:val="000B174F"/>
    <w:rsid w:val="000B440B"/>
    <w:rsid w:val="000D2EC6"/>
    <w:rsid w:val="000D3631"/>
    <w:rsid w:val="000D6FD0"/>
    <w:rsid w:val="000D72DC"/>
    <w:rsid w:val="000E171C"/>
    <w:rsid w:val="000E3B4E"/>
    <w:rsid w:val="000F549A"/>
    <w:rsid w:val="00105F18"/>
    <w:rsid w:val="0010609A"/>
    <w:rsid w:val="00122D57"/>
    <w:rsid w:val="00132935"/>
    <w:rsid w:val="00134926"/>
    <w:rsid w:val="00145E96"/>
    <w:rsid w:val="00151DEC"/>
    <w:rsid w:val="001542F1"/>
    <w:rsid w:val="00192752"/>
    <w:rsid w:val="00195AAC"/>
    <w:rsid w:val="001A15D9"/>
    <w:rsid w:val="001A3275"/>
    <w:rsid w:val="001A66A7"/>
    <w:rsid w:val="001A7181"/>
    <w:rsid w:val="001C282E"/>
    <w:rsid w:val="001C5A98"/>
    <w:rsid w:val="001D34FD"/>
    <w:rsid w:val="001D46FE"/>
    <w:rsid w:val="001F5093"/>
    <w:rsid w:val="001F7CCA"/>
    <w:rsid w:val="00202AB0"/>
    <w:rsid w:val="00203031"/>
    <w:rsid w:val="00204E3D"/>
    <w:rsid w:val="00210FAA"/>
    <w:rsid w:val="002115F3"/>
    <w:rsid w:val="00222C0D"/>
    <w:rsid w:val="00223A17"/>
    <w:rsid w:val="00223B55"/>
    <w:rsid w:val="00227BB4"/>
    <w:rsid w:val="00237D99"/>
    <w:rsid w:val="002469F6"/>
    <w:rsid w:val="00261FDA"/>
    <w:rsid w:val="002721DE"/>
    <w:rsid w:val="002727AB"/>
    <w:rsid w:val="00274275"/>
    <w:rsid w:val="0027608F"/>
    <w:rsid w:val="00280820"/>
    <w:rsid w:val="002851E8"/>
    <w:rsid w:val="002A0FF3"/>
    <w:rsid w:val="002A729E"/>
    <w:rsid w:val="002A7375"/>
    <w:rsid w:val="002D0C82"/>
    <w:rsid w:val="002D16BC"/>
    <w:rsid w:val="002E1193"/>
    <w:rsid w:val="002E39D4"/>
    <w:rsid w:val="002E56AA"/>
    <w:rsid w:val="002F634B"/>
    <w:rsid w:val="003242BD"/>
    <w:rsid w:val="00332A48"/>
    <w:rsid w:val="00355F81"/>
    <w:rsid w:val="00367A34"/>
    <w:rsid w:val="00376FF0"/>
    <w:rsid w:val="003831B9"/>
    <w:rsid w:val="00386EA6"/>
    <w:rsid w:val="00390439"/>
    <w:rsid w:val="003A0CAF"/>
    <w:rsid w:val="003B132C"/>
    <w:rsid w:val="003D5FC8"/>
    <w:rsid w:val="003F1CE3"/>
    <w:rsid w:val="003F277E"/>
    <w:rsid w:val="00403160"/>
    <w:rsid w:val="0040338C"/>
    <w:rsid w:val="00405600"/>
    <w:rsid w:val="00427B2E"/>
    <w:rsid w:val="00433591"/>
    <w:rsid w:val="00434349"/>
    <w:rsid w:val="0044064C"/>
    <w:rsid w:val="00441775"/>
    <w:rsid w:val="004429EA"/>
    <w:rsid w:val="00443D93"/>
    <w:rsid w:val="00463E93"/>
    <w:rsid w:val="00472B4D"/>
    <w:rsid w:val="0047556B"/>
    <w:rsid w:val="004804A2"/>
    <w:rsid w:val="004839E6"/>
    <w:rsid w:val="00494626"/>
    <w:rsid w:val="004B243C"/>
    <w:rsid w:val="004C5862"/>
    <w:rsid w:val="004E1F44"/>
    <w:rsid w:val="004E2815"/>
    <w:rsid w:val="004E4735"/>
    <w:rsid w:val="005033B7"/>
    <w:rsid w:val="005146FD"/>
    <w:rsid w:val="00517093"/>
    <w:rsid w:val="00517F60"/>
    <w:rsid w:val="005201C6"/>
    <w:rsid w:val="00522DA2"/>
    <w:rsid w:val="00523541"/>
    <w:rsid w:val="0053328A"/>
    <w:rsid w:val="00534305"/>
    <w:rsid w:val="00543773"/>
    <w:rsid w:val="00544C05"/>
    <w:rsid w:val="00545822"/>
    <w:rsid w:val="00561AA0"/>
    <w:rsid w:val="005728D9"/>
    <w:rsid w:val="00574446"/>
    <w:rsid w:val="00577A9E"/>
    <w:rsid w:val="005802E4"/>
    <w:rsid w:val="0058317F"/>
    <w:rsid w:val="00597BDD"/>
    <w:rsid w:val="005A1C09"/>
    <w:rsid w:val="005A1D1E"/>
    <w:rsid w:val="005A468A"/>
    <w:rsid w:val="005A50C5"/>
    <w:rsid w:val="005C122C"/>
    <w:rsid w:val="005C166E"/>
    <w:rsid w:val="005C1E74"/>
    <w:rsid w:val="005C2C42"/>
    <w:rsid w:val="005C5C9D"/>
    <w:rsid w:val="005E25C8"/>
    <w:rsid w:val="00600F44"/>
    <w:rsid w:val="00601FDC"/>
    <w:rsid w:val="00617D1E"/>
    <w:rsid w:val="00632842"/>
    <w:rsid w:val="006434AC"/>
    <w:rsid w:val="00653C51"/>
    <w:rsid w:val="00657339"/>
    <w:rsid w:val="00673354"/>
    <w:rsid w:val="00680226"/>
    <w:rsid w:val="006826B8"/>
    <w:rsid w:val="00690A24"/>
    <w:rsid w:val="006966CF"/>
    <w:rsid w:val="006A08B5"/>
    <w:rsid w:val="006A2661"/>
    <w:rsid w:val="006A709F"/>
    <w:rsid w:val="006B1CA5"/>
    <w:rsid w:val="006B438E"/>
    <w:rsid w:val="006C24C7"/>
    <w:rsid w:val="006D1173"/>
    <w:rsid w:val="006D7B8D"/>
    <w:rsid w:val="006F7899"/>
    <w:rsid w:val="0070711E"/>
    <w:rsid w:val="00713194"/>
    <w:rsid w:val="0071459A"/>
    <w:rsid w:val="00717578"/>
    <w:rsid w:val="007344DC"/>
    <w:rsid w:val="00740DA0"/>
    <w:rsid w:val="00741F18"/>
    <w:rsid w:val="00757685"/>
    <w:rsid w:val="00772FB0"/>
    <w:rsid w:val="00780A28"/>
    <w:rsid w:val="00783F60"/>
    <w:rsid w:val="00795E41"/>
    <w:rsid w:val="007B4BA7"/>
    <w:rsid w:val="007C6525"/>
    <w:rsid w:val="007D5E3C"/>
    <w:rsid w:val="007E2771"/>
    <w:rsid w:val="007E3A6F"/>
    <w:rsid w:val="007F12EC"/>
    <w:rsid w:val="007F2234"/>
    <w:rsid w:val="007F6DB9"/>
    <w:rsid w:val="007F791E"/>
    <w:rsid w:val="0080188C"/>
    <w:rsid w:val="008058D8"/>
    <w:rsid w:val="008127C6"/>
    <w:rsid w:val="00814061"/>
    <w:rsid w:val="008162C9"/>
    <w:rsid w:val="0082309C"/>
    <w:rsid w:val="0083564C"/>
    <w:rsid w:val="008435F7"/>
    <w:rsid w:val="008554AD"/>
    <w:rsid w:val="00860BBE"/>
    <w:rsid w:val="00863E47"/>
    <w:rsid w:val="00870683"/>
    <w:rsid w:val="0087680F"/>
    <w:rsid w:val="0088234A"/>
    <w:rsid w:val="00894ED8"/>
    <w:rsid w:val="00895EFD"/>
    <w:rsid w:val="008B5F0D"/>
    <w:rsid w:val="008C0BC4"/>
    <w:rsid w:val="008C685B"/>
    <w:rsid w:val="008D78B6"/>
    <w:rsid w:val="008F04F7"/>
    <w:rsid w:val="008F4E20"/>
    <w:rsid w:val="00902AF9"/>
    <w:rsid w:val="00905CE8"/>
    <w:rsid w:val="009064E5"/>
    <w:rsid w:val="009079CC"/>
    <w:rsid w:val="00910A83"/>
    <w:rsid w:val="00911127"/>
    <w:rsid w:val="00926F05"/>
    <w:rsid w:val="00927938"/>
    <w:rsid w:val="009537ED"/>
    <w:rsid w:val="00961B02"/>
    <w:rsid w:val="009707F3"/>
    <w:rsid w:val="00984A03"/>
    <w:rsid w:val="009854B5"/>
    <w:rsid w:val="009926B4"/>
    <w:rsid w:val="00997379"/>
    <w:rsid w:val="009B78EA"/>
    <w:rsid w:val="009C7AD9"/>
    <w:rsid w:val="009D496A"/>
    <w:rsid w:val="009F5141"/>
    <w:rsid w:val="00A0073B"/>
    <w:rsid w:val="00A00C0D"/>
    <w:rsid w:val="00A11538"/>
    <w:rsid w:val="00A4217C"/>
    <w:rsid w:val="00A446C0"/>
    <w:rsid w:val="00A53A1D"/>
    <w:rsid w:val="00A56160"/>
    <w:rsid w:val="00A56BA8"/>
    <w:rsid w:val="00A605EE"/>
    <w:rsid w:val="00A716FD"/>
    <w:rsid w:val="00A75D44"/>
    <w:rsid w:val="00A822F1"/>
    <w:rsid w:val="00A922AC"/>
    <w:rsid w:val="00A92F6E"/>
    <w:rsid w:val="00AA3AA7"/>
    <w:rsid w:val="00AA4D6E"/>
    <w:rsid w:val="00AB0E23"/>
    <w:rsid w:val="00AB545F"/>
    <w:rsid w:val="00AB57A3"/>
    <w:rsid w:val="00AC0F4B"/>
    <w:rsid w:val="00AC21B9"/>
    <w:rsid w:val="00AC2B79"/>
    <w:rsid w:val="00AC7167"/>
    <w:rsid w:val="00AF397C"/>
    <w:rsid w:val="00AF5261"/>
    <w:rsid w:val="00B04BA0"/>
    <w:rsid w:val="00B06407"/>
    <w:rsid w:val="00B073EC"/>
    <w:rsid w:val="00B17C0D"/>
    <w:rsid w:val="00B25944"/>
    <w:rsid w:val="00B35C72"/>
    <w:rsid w:val="00B447FE"/>
    <w:rsid w:val="00B519FC"/>
    <w:rsid w:val="00B51DDE"/>
    <w:rsid w:val="00B53703"/>
    <w:rsid w:val="00B53A61"/>
    <w:rsid w:val="00B6188E"/>
    <w:rsid w:val="00B62AD3"/>
    <w:rsid w:val="00B64402"/>
    <w:rsid w:val="00B66FB5"/>
    <w:rsid w:val="00B85D31"/>
    <w:rsid w:val="00B8639F"/>
    <w:rsid w:val="00B9135F"/>
    <w:rsid w:val="00B91D9B"/>
    <w:rsid w:val="00B95613"/>
    <w:rsid w:val="00BB1249"/>
    <w:rsid w:val="00BC6EE9"/>
    <w:rsid w:val="00BC79AC"/>
    <w:rsid w:val="00BD1599"/>
    <w:rsid w:val="00BD25A2"/>
    <w:rsid w:val="00BE135E"/>
    <w:rsid w:val="00BE5D23"/>
    <w:rsid w:val="00BF2D38"/>
    <w:rsid w:val="00C03C0B"/>
    <w:rsid w:val="00C10B1C"/>
    <w:rsid w:val="00C13676"/>
    <w:rsid w:val="00C36555"/>
    <w:rsid w:val="00C41D1F"/>
    <w:rsid w:val="00C454B1"/>
    <w:rsid w:val="00C55645"/>
    <w:rsid w:val="00C632EF"/>
    <w:rsid w:val="00C7181A"/>
    <w:rsid w:val="00C8789D"/>
    <w:rsid w:val="00CA29A8"/>
    <w:rsid w:val="00CE0851"/>
    <w:rsid w:val="00CE5EC7"/>
    <w:rsid w:val="00CE6216"/>
    <w:rsid w:val="00CF2BA5"/>
    <w:rsid w:val="00CF5055"/>
    <w:rsid w:val="00D073B6"/>
    <w:rsid w:val="00D23EF5"/>
    <w:rsid w:val="00D3386B"/>
    <w:rsid w:val="00D33CF0"/>
    <w:rsid w:val="00D45700"/>
    <w:rsid w:val="00D511F5"/>
    <w:rsid w:val="00D5548C"/>
    <w:rsid w:val="00D64E67"/>
    <w:rsid w:val="00D772FC"/>
    <w:rsid w:val="00D85660"/>
    <w:rsid w:val="00D92EE6"/>
    <w:rsid w:val="00D96A39"/>
    <w:rsid w:val="00DA0FE6"/>
    <w:rsid w:val="00DB3CE3"/>
    <w:rsid w:val="00E1235D"/>
    <w:rsid w:val="00E20BC8"/>
    <w:rsid w:val="00E2374F"/>
    <w:rsid w:val="00E237E4"/>
    <w:rsid w:val="00E24E7E"/>
    <w:rsid w:val="00E26891"/>
    <w:rsid w:val="00E3289F"/>
    <w:rsid w:val="00E46CA5"/>
    <w:rsid w:val="00E56691"/>
    <w:rsid w:val="00E6753C"/>
    <w:rsid w:val="00E8303B"/>
    <w:rsid w:val="00E9681D"/>
    <w:rsid w:val="00E9774E"/>
    <w:rsid w:val="00EC0D3F"/>
    <w:rsid w:val="00EC684F"/>
    <w:rsid w:val="00ED3FEC"/>
    <w:rsid w:val="00ED440F"/>
    <w:rsid w:val="00ED552B"/>
    <w:rsid w:val="00EE2784"/>
    <w:rsid w:val="00EE4D13"/>
    <w:rsid w:val="00EE7CE0"/>
    <w:rsid w:val="00EF2C68"/>
    <w:rsid w:val="00EF7C0C"/>
    <w:rsid w:val="00F0149C"/>
    <w:rsid w:val="00F06255"/>
    <w:rsid w:val="00F15167"/>
    <w:rsid w:val="00F16302"/>
    <w:rsid w:val="00F33246"/>
    <w:rsid w:val="00F420A4"/>
    <w:rsid w:val="00F44081"/>
    <w:rsid w:val="00F46BE9"/>
    <w:rsid w:val="00F54165"/>
    <w:rsid w:val="00F64588"/>
    <w:rsid w:val="00F6664E"/>
    <w:rsid w:val="00F73333"/>
    <w:rsid w:val="00FA7386"/>
    <w:rsid w:val="00FA76F0"/>
    <w:rsid w:val="00FB1123"/>
    <w:rsid w:val="00FD0744"/>
    <w:rsid w:val="00FD0B7D"/>
    <w:rsid w:val="00FE1D24"/>
    <w:rsid w:val="00FE42B1"/>
    <w:rsid w:val="00FE486D"/>
    <w:rsid w:val="00FF2F8A"/>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DAA91B"/>
    <w:rsid w:val="52EF5C2C"/>
    <w:rsid w:val="554E12D6"/>
    <w:rsid w:val="55C33E84"/>
    <w:rsid w:val="564FAEF7"/>
    <w:rsid w:val="57AB4FE8"/>
    <w:rsid w:val="57ED61BC"/>
    <w:rsid w:val="58B9EC76"/>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3B7A73C-DCC9-4524-ABC9-0C51715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19"/>
      </w:numPr>
      <w:tabs>
        <w:tab w:val="clear" w:pos="851"/>
      </w:tabs>
      <w:spacing w:after="240"/>
      <w:ind w:left="624" w:hanging="284"/>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paragraph" w:styleId="Revision">
    <w:name w:val="Revision"/>
    <w:hidden/>
    <w:uiPriority w:val="99"/>
    <w:semiHidden/>
    <w:rsid w:val="00A0073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ugcer\AppData\Local\Microsoft\Windows\INetCache\Content.MSO\30598940.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A5B01D7-F49A-41F2-8558-AC8B5A4E152C}"/>
      </w:docPartPr>
      <w:docPartBody>
        <w:p w:rsidR="00446578" w:rsidRDefault="00B9135F" w:rsidP="00B9135F">
          <w:pPr>
            <w:pStyle w:val="DefaultPlaceholder-1854013439"/>
          </w:pPr>
          <w:r w:rsidRPr="42B411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45"/>
    <w:rsid w:val="00045F45"/>
    <w:rsid w:val="0007044A"/>
    <w:rsid w:val="00175C4E"/>
    <w:rsid w:val="00204E3D"/>
    <w:rsid w:val="00285AE6"/>
    <w:rsid w:val="002A729E"/>
    <w:rsid w:val="00353C25"/>
    <w:rsid w:val="00446578"/>
    <w:rsid w:val="004B243C"/>
    <w:rsid w:val="004E1F44"/>
    <w:rsid w:val="004E3571"/>
    <w:rsid w:val="005033B7"/>
    <w:rsid w:val="005C1E74"/>
    <w:rsid w:val="00657339"/>
    <w:rsid w:val="006D1173"/>
    <w:rsid w:val="00783FFA"/>
    <w:rsid w:val="007F377E"/>
    <w:rsid w:val="00891C5A"/>
    <w:rsid w:val="00926F05"/>
    <w:rsid w:val="009537ED"/>
    <w:rsid w:val="009B78EA"/>
    <w:rsid w:val="00A32051"/>
    <w:rsid w:val="00A922AC"/>
    <w:rsid w:val="00AC2B79"/>
    <w:rsid w:val="00AE426E"/>
    <w:rsid w:val="00B271D7"/>
    <w:rsid w:val="00B9135F"/>
    <w:rsid w:val="00C940C5"/>
    <w:rsid w:val="00CF5055"/>
    <w:rsid w:val="00D85660"/>
    <w:rsid w:val="00DA0FE6"/>
    <w:rsid w:val="00E12B18"/>
    <w:rsid w:val="00E9681D"/>
    <w:rsid w:val="00EF2C68"/>
    <w:rsid w:val="00F6301A"/>
    <w:rsid w:val="00FD22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0C5"/>
    <w:rPr>
      <w:color w:val="808080"/>
    </w:rPr>
  </w:style>
  <w:style w:type="paragraph" w:customStyle="1" w:styleId="DefaultPlaceholder-1854013439">
    <w:name w:val="DefaultPlaceholder_-1854013439"/>
    <w:rsid w:val="00B9135F"/>
    <w:pPr>
      <w:tabs>
        <w:tab w:val="left" w:pos="851"/>
      </w:tabs>
      <w:spacing w:after="0" w:line="240" w:lineRule="auto"/>
      <w:ind w:left="720"/>
      <w:contextualSpacing/>
      <w:jc w:val="both"/>
    </w:pPr>
    <w:rPr>
      <w:rFonts w:ascii="Source Sans Pro" w:eastAsia="Times New Roman" w:hAnsi="Source Sans Pro" w:cs="Tahom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4589</Words>
  <Characters>2616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Giedrė Jasulaitytė-Ostapenko</cp:lastModifiedBy>
  <cp:revision>3</cp:revision>
  <cp:lastPrinted>2020-10-07T15:49:00Z</cp:lastPrinted>
  <dcterms:created xsi:type="dcterms:W3CDTF">2025-10-16T05:32:00Z</dcterms:created>
  <dcterms:modified xsi:type="dcterms:W3CDTF">2025-10-16T05:38:00Z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ies>
</file>