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7EF" w:rsidRPr="00C12604" w:rsidRDefault="00B127EF" w:rsidP="00B127EF">
      <w:pPr>
        <w:spacing w:line="240" w:lineRule="auto"/>
        <w:ind w:left="7314" w:firstLine="0"/>
        <w:rPr>
          <w:rFonts w:ascii="Times New Roman" w:hAnsi="Times New Roman" w:cs="Times New Roman"/>
        </w:rPr>
      </w:pPr>
      <w:r w:rsidRPr="00C12604">
        <w:rPr>
          <w:rFonts w:ascii="Times New Roman" w:hAnsi="Times New Roman" w:cs="Times New Roman"/>
        </w:rPr>
        <w:t>Pirkimo sąlygų 4 priedas „Techninė specifikacija“</w:t>
      </w:r>
    </w:p>
    <w:p w:rsidR="00B127EF" w:rsidRPr="00C12604" w:rsidRDefault="00B127EF" w:rsidP="00B127EF">
      <w:pPr>
        <w:jc w:val="center"/>
        <w:rPr>
          <w:rFonts w:ascii="Times New Roman" w:hAnsi="Times New Roman" w:cs="Times New Roman"/>
          <w:sz w:val="28"/>
          <w:szCs w:val="28"/>
        </w:rPr>
      </w:pPr>
    </w:p>
    <w:p w:rsidR="00B127EF" w:rsidRDefault="00B127EF" w:rsidP="00B127EF">
      <w:pPr>
        <w:spacing w:line="240" w:lineRule="auto"/>
        <w:jc w:val="center"/>
        <w:rPr>
          <w:rFonts w:ascii="Times New Roman" w:hAnsi="Times New Roman" w:cs="Times New Roman"/>
          <w:sz w:val="28"/>
          <w:szCs w:val="28"/>
        </w:rPr>
      </w:pPr>
      <w:r w:rsidRPr="00C12604">
        <w:rPr>
          <w:rFonts w:ascii="Times New Roman" w:hAnsi="Times New Roman" w:cs="Times New Roman"/>
          <w:sz w:val="28"/>
          <w:szCs w:val="28"/>
        </w:rPr>
        <w:t>TECHNINĖ SPECIFIKACIJA</w:t>
      </w:r>
    </w:p>
    <w:p w:rsidR="00B127EF" w:rsidRPr="00C12604" w:rsidRDefault="00B127EF" w:rsidP="00B127EF">
      <w:pPr>
        <w:spacing w:line="240" w:lineRule="auto"/>
        <w:jc w:val="center"/>
        <w:rPr>
          <w:rFonts w:ascii="Times New Roman" w:hAnsi="Times New Roman" w:cs="Times New Roman"/>
          <w:sz w:val="28"/>
          <w:szCs w:val="28"/>
        </w:rPr>
      </w:pPr>
    </w:p>
    <w:p w:rsidR="00BE5037" w:rsidRPr="000125C6" w:rsidRDefault="00BE5037" w:rsidP="00BE5037">
      <w:pPr>
        <w:numPr>
          <w:ilvl w:val="0"/>
          <w:numId w:val="1"/>
        </w:numPr>
        <w:tabs>
          <w:tab w:val="left" w:pos="284"/>
          <w:tab w:val="left" w:pos="900"/>
        </w:tabs>
        <w:spacing w:line="254" w:lineRule="auto"/>
        <w:ind w:left="0" w:firstLine="0"/>
        <w:outlineLvl w:val="1"/>
        <w:rPr>
          <w:rFonts w:ascii="Times New Roman" w:hAnsi="Times New Roman" w:cs="Times New Roman"/>
          <w:sz w:val="24"/>
          <w:szCs w:val="24"/>
        </w:rPr>
      </w:pPr>
      <w:r w:rsidRPr="000125C6">
        <w:rPr>
          <w:rFonts w:ascii="Times New Roman" w:hAnsi="Times New Roman" w:cs="Times New Roman"/>
          <w:sz w:val="24"/>
          <w:szCs w:val="24"/>
        </w:rPr>
        <w:t>VšĮ Lietuvos sveikatos mokslų universiteto praktinio mokymo ir bandymų centras vykdo mažos vertės viešąjį pirkimą pieno pakaitalų veršeliams įsigijimui. Pirkimas į dalis neskaidomas.</w:t>
      </w:r>
      <w:bookmarkStart w:id="0" w:name="_Hlk160889912"/>
    </w:p>
    <w:p w:rsidR="00BE5037" w:rsidRPr="000125C6" w:rsidRDefault="00BE5037" w:rsidP="00BE5037">
      <w:pPr>
        <w:numPr>
          <w:ilvl w:val="0"/>
          <w:numId w:val="1"/>
        </w:numPr>
        <w:tabs>
          <w:tab w:val="left" w:pos="284"/>
          <w:tab w:val="left" w:pos="900"/>
        </w:tabs>
        <w:spacing w:line="254" w:lineRule="auto"/>
        <w:ind w:left="0" w:firstLine="0"/>
        <w:outlineLvl w:val="1"/>
        <w:rPr>
          <w:rFonts w:ascii="Times New Roman" w:hAnsi="Times New Roman" w:cs="Times New Roman"/>
          <w:sz w:val="24"/>
          <w:szCs w:val="24"/>
        </w:rPr>
      </w:pPr>
      <w:r w:rsidRPr="000125C6">
        <w:rPr>
          <w:rFonts w:ascii="Times New Roman" w:eastAsia="Times New Roman" w:hAnsi="Times New Roman" w:cs="Times New Roman"/>
          <w:bCs/>
          <w:kern w:val="2"/>
          <w:sz w:val="24"/>
          <w:lang w:eastAsia="x-none"/>
          <w14:ligatures w14:val="standardContextual"/>
        </w:rPr>
        <w:t>Perkančioji organizacija numato įsigyti 6000 kg pieno pakaitalų veršeliams.</w:t>
      </w:r>
      <w:r w:rsidRPr="000125C6">
        <w:rPr>
          <w:rFonts w:ascii="Times New Roman" w:hAnsi="Times New Roman" w:cs="Times New Roman"/>
          <w:sz w:val="24"/>
          <w:szCs w:val="24"/>
        </w:rPr>
        <w:t xml:space="preserve"> Pieno pakaitalai veršeliams </w:t>
      </w:r>
      <w:r w:rsidRPr="000125C6">
        <w:rPr>
          <w:rFonts w:ascii="Times New Roman" w:eastAsia="Times New Roman" w:hAnsi="Times New Roman" w:cs="Times New Roman"/>
          <w:bCs/>
          <w:kern w:val="2"/>
          <w:sz w:val="24"/>
          <w:lang w:eastAsia="x-none"/>
          <w14:ligatures w14:val="standardContextual"/>
        </w:rPr>
        <w:t>turi būti pristatyti</w:t>
      </w:r>
      <w:r>
        <w:rPr>
          <w:rFonts w:ascii="Times New Roman" w:eastAsia="Times New Roman" w:hAnsi="Times New Roman" w:cs="Times New Roman"/>
          <w:bCs/>
          <w:kern w:val="2"/>
          <w:sz w:val="24"/>
          <w:lang w:eastAsia="x-none"/>
          <w14:ligatures w14:val="standardContextual"/>
        </w:rPr>
        <w:t xml:space="preserve">: VšĮ </w:t>
      </w:r>
      <w:r w:rsidRPr="000125C6">
        <w:rPr>
          <w:rFonts w:ascii="Times New Roman" w:eastAsia="Times New Roman" w:hAnsi="Times New Roman" w:cs="Times New Roman"/>
          <w:bCs/>
          <w:kern w:val="2"/>
          <w:sz w:val="24"/>
          <w:lang w:eastAsia="x-none"/>
          <w14:ligatures w14:val="standardContextual"/>
        </w:rPr>
        <w:t>L</w:t>
      </w:r>
      <w:r>
        <w:rPr>
          <w:rFonts w:ascii="Times New Roman" w:eastAsia="Times New Roman" w:hAnsi="Times New Roman" w:cs="Times New Roman"/>
          <w:bCs/>
          <w:kern w:val="2"/>
          <w:sz w:val="24"/>
          <w:lang w:eastAsia="x-none"/>
          <w14:ligatures w14:val="standardContextual"/>
        </w:rPr>
        <w:t>ietuvos sveikatos mokslų universiteto praktinio mokymo ir bandymų centras</w:t>
      </w:r>
      <w:r w:rsidRPr="000125C6">
        <w:rPr>
          <w:rFonts w:ascii="Times New Roman" w:eastAsia="Times New Roman" w:hAnsi="Times New Roman" w:cs="Times New Roman"/>
          <w:bCs/>
          <w:kern w:val="2"/>
          <w:sz w:val="24"/>
          <w:lang w:eastAsia="x-none"/>
          <w14:ligatures w14:val="standardContextual"/>
        </w:rPr>
        <w:t xml:space="preserve">, adresu </w:t>
      </w:r>
      <w:r w:rsidRPr="00316207">
        <w:rPr>
          <w:rFonts w:ascii="Times New Roman" w:hAnsi="Times New Roman" w:cs="Times New Roman"/>
          <w:sz w:val="24"/>
          <w:szCs w:val="24"/>
        </w:rPr>
        <w:t>Jurginų g. 23, Naujųjų Muniškių k., Kauno r. sav.</w:t>
      </w:r>
    </w:p>
    <w:p w:rsidR="00BE5037" w:rsidRPr="000125C6" w:rsidRDefault="00BE5037" w:rsidP="00BE5037">
      <w:pPr>
        <w:numPr>
          <w:ilvl w:val="0"/>
          <w:numId w:val="1"/>
        </w:numPr>
        <w:tabs>
          <w:tab w:val="left" w:pos="284"/>
          <w:tab w:val="left" w:pos="900"/>
        </w:tabs>
        <w:spacing w:line="254" w:lineRule="auto"/>
        <w:ind w:left="0" w:firstLine="0"/>
        <w:outlineLvl w:val="1"/>
        <w:rPr>
          <w:rFonts w:ascii="Times New Roman" w:hAnsi="Times New Roman" w:cs="Times New Roman"/>
          <w:sz w:val="24"/>
          <w:szCs w:val="24"/>
        </w:rPr>
      </w:pPr>
      <w:r w:rsidRPr="000125C6">
        <w:rPr>
          <w:rFonts w:ascii="Times New Roman" w:eastAsia="Times New Roman" w:hAnsi="Times New Roman" w:cs="Times New Roman"/>
          <w:bCs/>
          <w:kern w:val="2"/>
          <w:sz w:val="24"/>
          <w:lang w:eastAsia="x-none"/>
          <w14:ligatures w14:val="standardContextual"/>
        </w:rPr>
        <w:t>Perkamas kiekis pristatomas vienu metu iki 202</w:t>
      </w:r>
      <w:r>
        <w:rPr>
          <w:rFonts w:ascii="Times New Roman" w:eastAsia="Times New Roman" w:hAnsi="Times New Roman" w:cs="Times New Roman"/>
          <w:bCs/>
          <w:kern w:val="2"/>
          <w:sz w:val="24"/>
          <w:lang w:eastAsia="x-none"/>
          <w14:ligatures w14:val="standardContextual"/>
        </w:rPr>
        <w:t>5</w:t>
      </w:r>
      <w:r w:rsidRPr="000125C6">
        <w:rPr>
          <w:rFonts w:ascii="Times New Roman" w:eastAsia="Times New Roman" w:hAnsi="Times New Roman" w:cs="Times New Roman"/>
          <w:bCs/>
          <w:kern w:val="2"/>
          <w:sz w:val="24"/>
          <w:lang w:eastAsia="x-none"/>
          <w14:ligatures w14:val="standardContextual"/>
        </w:rPr>
        <w:t xml:space="preserve"> m. sausio 30 d., supakavimas – ne sunkesnėmis nei 25 kg. pakuotėmis.</w:t>
      </w:r>
    </w:p>
    <w:p w:rsidR="00BE5037" w:rsidRPr="000125C6" w:rsidRDefault="00BE5037" w:rsidP="00BE5037">
      <w:pPr>
        <w:numPr>
          <w:ilvl w:val="0"/>
          <w:numId w:val="1"/>
        </w:numPr>
        <w:tabs>
          <w:tab w:val="left" w:pos="284"/>
          <w:tab w:val="left" w:pos="900"/>
        </w:tabs>
        <w:spacing w:line="254" w:lineRule="auto"/>
        <w:ind w:left="0" w:firstLine="0"/>
        <w:outlineLvl w:val="1"/>
        <w:rPr>
          <w:rFonts w:ascii="Times New Roman" w:hAnsi="Times New Roman" w:cs="Times New Roman"/>
          <w:sz w:val="24"/>
          <w:szCs w:val="24"/>
        </w:rPr>
      </w:pPr>
      <w:r w:rsidRPr="000125C6">
        <w:rPr>
          <w:rFonts w:ascii="Times New Roman" w:eastAsia="Times New Roman" w:hAnsi="Times New Roman" w:cs="Times New Roman"/>
          <w:bCs/>
          <w:kern w:val="2"/>
          <w:sz w:val="24"/>
          <w:lang w:eastAsia="x-none"/>
          <w14:ligatures w14:val="standardContextual"/>
        </w:rPr>
        <w:t xml:space="preserve">Perkamų pieno pakaitalų veršeliams reikalavimai pateikiami 1 lentelėje. </w:t>
      </w:r>
    </w:p>
    <w:bookmarkEnd w:id="0"/>
    <w:p w:rsidR="00BE5037" w:rsidRPr="000125C6" w:rsidRDefault="00BE5037" w:rsidP="00BE5037">
      <w:pPr>
        <w:tabs>
          <w:tab w:val="left" w:pos="284"/>
          <w:tab w:val="left" w:pos="900"/>
        </w:tabs>
        <w:spacing w:line="254" w:lineRule="auto"/>
        <w:outlineLvl w:val="1"/>
        <w:rPr>
          <w:rFonts w:ascii="Times New Roman" w:hAnsi="Times New Roman" w:cs="Times New Roman"/>
          <w:b/>
          <w:bCs/>
          <w:color w:val="000000"/>
          <w:sz w:val="24"/>
          <w:szCs w:val="24"/>
        </w:rPr>
      </w:pPr>
      <w:r w:rsidRPr="000125C6">
        <w:rPr>
          <w:rFonts w:ascii="Times New Roman" w:hAnsi="Times New Roman" w:cs="Times New Roman"/>
          <w:sz w:val="24"/>
          <w:szCs w:val="24"/>
        </w:rPr>
        <w:t>1 lentelė.</w:t>
      </w:r>
      <w:r w:rsidRPr="000125C6">
        <w:rPr>
          <w:rFonts w:ascii="Times New Roman" w:hAnsi="Times New Roman" w:cs="Times New Roman"/>
          <w:b/>
          <w:bCs/>
          <w:color w:val="000000"/>
          <w:sz w:val="24"/>
          <w:szCs w:val="24"/>
        </w:rPr>
        <w:t xml:space="preserve"> Pieno pakaitalai veršeliams (BVPŽ – 15511700-0 – pieno milteliai).</w:t>
      </w:r>
    </w:p>
    <w:p w:rsidR="00BE5037" w:rsidRPr="000125C6" w:rsidRDefault="00BE5037" w:rsidP="00BE5037">
      <w:pPr>
        <w:tabs>
          <w:tab w:val="left" w:pos="284"/>
          <w:tab w:val="left" w:pos="900"/>
        </w:tabs>
        <w:spacing w:line="254" w:lineRule="auto"/>
        <w:outlineLvl w:val="1"/>
        <w:rPr>
          <w:rFonts w:ascii="Times New Roman" w:hAnsi="Times New Roman" w:cs="Times New Roman"/>
          <w:sz w:val="24"/>
          <w:szCs w:val="24"/>
        </w:rPr>
      </w:pPr>
    </w:p>
    <w:tbl>
      <w:tblPr>
        <w:tblW w:w="0" w:type="auto"/>
        <w:tblInd w:w="-38" w:type="dxa"/>
        <w:tblLayout w:type="fixed"/>
        <w:tblLook w:val="0000" w:firstRow="0" w:lastRow="0" w:firstColumn="0" w:lastColumn="0" w:noHBand="0" w:noVBand="0"/>
      </w:tblPr>
      <w:tblGrid>
        <w:gridCol w:w="3716"/>
        <w:gridCol w:w="5528"/>
      </w:tblGrid>
      <w:tr w:rsidR="00BE5037" w:rsidRPr="000125C6" w:rsidTr="00DA60DC">
        <w:trPr>
          <w:trHeight w:val="190"/>
        </w:trPr>
        <w:tc>
          <w:tcPr>
            <w:tcW w:w="3716"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b/>
                <w:color w:val="000000"/>
                <w:sz w:val="24"/>
                <w:szCs w:val="24"/>
              </w:rPr>
            </w:pPr>
            <w:r w:rsidRPr="000125C6">
              <w:rPr>
                <w:rFonts w:ascii="Times New Roman" w:hAnsi="Times New Roman" w:cs="Times New Roman"/>
                <w:b/>
                <w:sz w:val="24"/>
                <w:szCs w:val="24"/>
              </w:rPr>
              <w:t>Rodiklio pavadinimas </w:t>
            </w:r>
          </w:p>
        </w:tc>
        <w:tc>
          <w:tcPr>
            <w:tcW w:w="5528"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center"/>
              <w:rPr>
                <w:rFonts w:ascii="Times New Roman" w:hAnsi="Times New Roman" w:cs="Times New Roman"/>
                <w:b/>
                <w:color w:val="000000"/>
                <w:sz w:val="24"/>
                <w:szCs w:val="24"/>
              </w:rPr>
            </w:pPr>
            <w:r w:rsidRPr="000125C6">
              <w:rPr>
                <w:rFonts w:ascii="Times New Roman" w:hAnsi="Times New Roman" w:cs="Times New Roman"/>
                <w:b/>
                <w:color w:val="000000"/>
                <w:sz w:val="24"/>
                <w:szCs w:val="24"/>
                <w:shd w:val="clear" w:color="auto" w:fill="FFFFFF"/>
              </w:rPr>
              <w:t xml:space="preserve">Reikalavimai prekėms. </w:t>
            </w:r>
            <w:r w:rsidRPr="000125C6">
              <w:rPr>
                <w:rFonts w:ascii="Times New Roman" w:hAnsi="Times New Roman" w:cs="Times New Roman"/>
                <w:b/>
                <w:sz w:val="24"/>
                <w:szCs w:val="24"/>
              </w:rPr>
              <w:t>Kiekis  </w:t>
            </w:r>
          </w:p>
        </w:tc>
      </w:tr>
      <w:tr w:rsidR="00BE5037" w:rsidRPr="000125C6" w:rsidTr="00DA60DC">
        <w:trPr>
          <w:trHeight w:val="190"/>
        </w:trPr>
        <w:tc>
          <w:tcPr>
            <w:tcW w:w="3716"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p>
        </w:tc>
        <w:tc>
          <w:tcPr>
            <w:tcW w:w="5528"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Produktas turi būti homogenizuotas.</w:t>
            </w:r>
          </w:p>
        </w:tc>
      </w:tr>
      <w:tr w:rsidR="00BE5037" w:rsidRPr="000125C6" w:rsidTr="00DA60DC">
        <w:trPr>
          <w:trHeight w:val="190"/>
        </w:trPr>
        <w:tc>
          <w:tcPr>
            <w:tcW w:w="3716"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p>
        </w:tc>
        <w:tc>
          <w:tcPr>
            <w:tcW w:w="5528"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Produktas turi būti tinkamas veršelių šėrimui nuo pirmos dienos visą girdymo periodą.</w:t>
            </w:r>
          </w:p>
        </w:tc>
      </w:tr>
      <w:tr w:rsidR="00BE5037" w:rsidRPr="000125C6" w:rsidTr="00DA60DC">
        <w:trPr>
          <w:trHeight w:val="190"/>
        </w:trPr>
        <w:tc>
          <w:tcPr>
            <w:tcW w:w="3716"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p>
        </w:tc>
        <w:tc>
          <w:tcPr>
            <w:tcW w:w="5528"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Produktas turi būti tinkamas naudoti tiek paprastose, tiek automatinėse girdymo sistemose.</w:t>
            </w:r>
          </w:p>
        </w:tc>
      </w:tr>
      <w:tr w:rsidR="00BE5037" w:rsidRPr="000125C6" w:rsidTr="00DA60DC">
        <w:trPr>
          <w:trHeight w:val="190"/>
        </w:trPr>
        <w:tc>
          <w:tcPr>
            <w:tcW w:w="3716"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Lieso pieno milteliai</w:t>
            </w:r>
          </w:p>
        </w:tc>
        <w:tc>
          <w:tcPr>
            <w:tcW w:w="5528"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mažiau 50</w:t>
            </w:r>
            <w:r>
              <w:rPr>
                <w:rFonts w:ascii="Times New Roman" w:hAnsi="Times New Roman" w:cs="Times New Roman"/>
                <w:color w:val="000000"/>
                <w:sz w:val="24"/>
                <w:szCs w:val="24"/>
              </w:rPr>
              <w:t>,0</w:t>
            </w:r>
            <w:r w:rsidRPr="000125C6">
              <w:rPr>
                <w:rFonts w:ascii="Times New Roman" w:hAnsi="Times New Roman" w:cs="Times New Roman"/>
                <w:color w:val="000000"/>
                <w:sz w:val="24"/>
                <w:szCs w:val="24"/>
              </w:rPr>
              <w:t xml:space="preserve"> proc.</w:t>
            </w:r>
          </w:p>
        </w:tc>
      </w:tr>
      <w:tr w:rsidR="00BE5037" w:rsidRPr="000125C6" w:rsidTr="00DA60DC">
        <w:trPr>
          <w:trHeight w:val="190"/>
        </w:trPr>
        <w:tc>
          <w:tcPr>
            <w:tcW w:w="3716"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Baltymai</w:t>
            </w:r>
          </w:p>
        </w:tc>
        <w:tc>
          <w:tcPr>
            <w:tcW w:w="5528"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mažiau 22.5 proc.</w:t>
            </w:r>
          </w:p>
        </w:tc>
      </w:tr>
      <w:tr w:rsidR="00BE5037" w:rsidRPr="000125C6" w:rsidTr="00DA60DC">
        <w:trPr>
          <w:trHeight w:val="190"/>
        </w:trPr>
        <w:tc>
          <w:tcPr>
            <w:tcW w:w="3716"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Riebalai</w:t>
            </w:r>
          </w:p>
        </w:tc>
        <w:tc>
          <w:tcPr>
            <w:tcW w:w="5528"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mažiau 25,0 proc.</w:t>
            </w:r>
          </w:p>
        </w:tc>
      </w:tr>
      <w:tr w:rsidR="00BE5037" w:rsidRPr="000125C6" w:rsidTr="00DA60DC">
        <w:trPr>
          <w:trHeight w:val="190"/>
        </w:trPr>
        <w:tc>
          <w:tcPr>
            <w:tcW w:w="3716"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Laktozė</w:t>
            </w:r>
          </w:p>
        </w:tc>
        <w:tc>
          <w:tcPr>
            <w:tcW w:w="5528"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mažiau 39,0 proc.</w:t>
            </w:r>
          </w:p>
        </w:tc>
      </w:tr>
      <w:tr w:rsidR="00BE5037" w:rsidRPr="000125C6" w:rsidTr="00DA60DC">
        <w:trPr>
          <w:trHeight w:val="190"/>
        </w:trPr>
        <w:tc>
          <w:tcPr>
            <w:tcW w:w="3716"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Ląsteliena</w:t>
            </w:r>
          </w:p>
        </w:tc>
        <w:tc>
          <w:tcPr>
            <w:tcW w:w="5528"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daugiau 0,00 proc.</w:t>
            </w:r>
          </w:p>
        </w:tc>
      </w:tr>
      <w:tr w:rsidR="00BE5037" w:rsidRPr="000125C6" w:rsidTr="00DA60DC">
        <w:trPr>
          <w:trHeight w:val="867"/>
        </w:trPr>
        <w:tc>
          <w:tcPr>
            <w:tcW w:w="3716"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right"/>
              <w:rPr>
                <w:rFonts w:ascii="Times New Roman" w:hAnsi="Times New Roman" w:cs="Times New Roman"/>
                <w:color w:val="000000"/>
                <w:sz w:val="24"/>
                <w:szCs w:val="24"/>
              </w:rPr>
            </w:pPr>
          </w:p>
        </w:tc>
        <w:tc>
          <w:tcPr>
            <w:tcW w:w="5528"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Kitos analitinės sudedamosios dalys, maistiniai priedai ir zootechniniai priedai pagal gamintojo  atitikties deklaraciją</w:t>
            </w:r>
          </w:p>
        </w:tc>
      </w:tr>
      <w:tr w:rsidR="00BE5037" w:rsidRPr="000125C6" w:rsidTr="00DA60DC">
        <w:trPr>
          <w:trHeight w:val="309"/>
        </w:trPr>
        <w:tc>
          <w:tcPr>
            <w:tcW w:w="3716"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rPr>
                <w:rFonts w:ascii="Times New Roman" w:hAnsi="Times New Roman" w:cs="Times New Roman"/>
                <w:color w:val="000000"/>
                <w:sz w:val="24"/>
                <w:szCs w:val="24"/>
              </w:rPr>
            </w:pPr>
            <w:r w:rsidRPr="000125C6">
              <w:rPr>
                <w:rFonts w:ascii="Times New Roman" w:hAnsi="Times New Roman" w:cs="Times New Roman"/>
                <w:bCs/>
                <w:color w:val="000000"/>
                <w:sz w:val="24"/>
                <w:szCs w:val="24"/>
              </w:rPr>
              <w:t>Supakavimas</w:t>
            </w:r>
          </w:p>
        </w:tc>
        <w:tc>
          <w:tcPr>
            <w:tcW w:w="5528"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daugiau</w:t>
            </w:r>
            <w:r w:rsidRPr="000125C6">
              <w:rPr>
                <w:rFonts w:ascii="Times New Roman" w:hAnsi="Times New Roman" w:cs="Times New Roman"/>
                <w:bCs/>
                <w:color w:val="000000"/>
                <w:sz w:val="24"/>
                <w:szCs w:val="24"/>
              </w:rPr>
              <w:t xml:space="preserve"> 25 kg.</w:t>
            </w:r>
          </w:p>
        </w:tc>
      </w:tr>
      <w:tr w:rsidR="00BE5037" w:rsidRPr="000125C6" w:rsidTr="00DA60DC">
        <w:trPr>
          <w:trHeight w:val="309"/>
        </w:trPr>
        <w:tc>
          <w:tcPr>
            <w:tcW w:w="3716"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rPr>
                <w:rFonts w:ascii="Times New Roman" w:hAnsi="Times New Roman" w:cs="Times New Roman"/>
                <w:color w:val="000000"/>
                <w:sz w:val="24"/>
                <w:szCs w:val="24"/>
              </w:rPr>
            </w:pPr>
            <w:r w:rsidRPr="000125C6">
              <w:rPr>
                <w:rFonts w:ascii="Times New Roman" w:hAnsi="Times New Roman" w:cs="Times New Roman"/>
                <w:bCs/>
                <w:color w:val="000000"/>
                <w:sz w:val="24"/>
                <w:szCs w:val="24"/>
              </w:rPr>
              <w:t>Kiekis metams</w:t>
            </w:r>
          </w:p>
        </w:tc>
        <w:tc>
          <w:tcPr>
            <w:tcW w:w="5528" w:type="dxa"/>
            <w:tcBorders>
              <w:top w:val="single" w:sz="6" w:space="0" w:color="auto"/>
              <w:left w:val="single" w:sz="6" w:space="0" w:color="auto"/>
              <w:bottom w:val="single" w:sz="6" w:space="0" w:color="auto"/>
              <w:right w:val="single" w:sz="6" w:space="0" w:color="auto"/>
            </w:tcBorders>
          </w:tcPr>
          <w:p w:rsidR="00BE5037" w:rsidRPr="000125C6" w:rsidRDefault="00BE5037" w:rsidP="00DA60DC">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bCs/>
                <w:color w:val="000000"/>
                <w:sz w:val="24"/>
                <w:szCs w:val="24"/>
              </w:rPr>
              <w:t>6000 kg</w:t>
            </w:r>
          </w:p>
        </w:tc>
      </w:tr>
    </w:tbl>
    <w:p w:rsidR="00BE5037" w:rsidRPr="000125C6" w:rsidRDefault="00BE5037" w:rsidP="00BE5037">
      <w:pPr>
        <w:tabs>
          <w:tab w:val="left" w:pos="284"/>
          <w:tab w:val="left" w:pos="900"/>
        </w:tabs>
        <w:spacing w:line="254" w:lineRule="auto"/>
        <w:outlineLvl w:val="1"/>
        <w:rPr>
          <w:rFonts w:ascii="Times New Roman" w:hAnsi="Times New Roman" w:cs="Times New Roman"/>
          <w:sz w:val="24"/>
          <w:szCs w:val="24"/>
        </w:rPr>
      </w:pPr>
    </w:p>
    <w:p w:rsidR="00BE5037" w:rsidRPr="000125C6" w:rsidRDefault="00BE5037" w:rsidP="00BE5037">
      <w:pPr>
        <w:numPr>
          <w:ilvl w:val="0"/>
          <w:numId w:val="1"/>
        </w:numPr>
        <w:shd w:val="clear" w:color="auto" w:fill="FFFFFF"/>
        <w:tabs>
          <w:tab w:val="left" w:pos="284"/>
          <w:tab w:val="left" w:pos="900"/>
        </w:tabs>
        <w:spacing w:before="240" w:after="240" w:line="254" w:lineRule="auto"/>
        <w:ind w:left="0" w:firstLine="0"/>
        <w:contextualSpacing/>
        <w:outlineLvl w:val="1"/>
        <w:rPr>
          <w:rFonts w:ascii="Times New Roman" w:eastAsia="Times New Roman" w:hAnsi="Times New Roman" w:cs="Times New Roman"/>
          <w:bCs/>
          <w:kern w:val="2"/>
          <w:sz w:val="24"/>
          <w:szCs w:val="24"/>
          <w:lang w:eastAsia="x-none"/>
          <w14:ligatures w14:val="standardContextual"/>
        </w:rPr>
      </w:pPr>
      <w:r w:rsidRPr="000125C6">
        <w:rPr>
          <w:rFonts w:ascii="Times New Roman" w:eastAsia="Times New Roman" w:hAnsi="Times New Roman" w:cs="Times New Roman"/>
          <w:bCs/>
          <w:kern w:val="2"/>
          <w:sz w:val="24"/>
          <w:lang w:eastAsia="x-none"/>
          <w14:ligatures w14:val="standardContextual"/>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4.4.4.5.  papunkčiu – perkama prekė yra pilnai sunaudojama, prekės atliekų nelieka.</w:t>
      </w:r>
    </w:p>
    <w:p w:rsidR="00BE5037" w:rsidRPr="000125C6" w:rsidRDefault="00BE5037" w:rsidP="00BE5037">
      <w:pPr>
        <w:numPr>
          <w:ilvl w:val="0"/>
          <w:numId w:val="1"/>
        </w:numPr>
        <w:tabs>
          <w:tab w:val="left" w:pos="284"/>
          <w:tab w:val="left" w:pos="900"/>
        </w:tabs>
        <w:spacing w:line="254" w:lineRule="auto"/>
        <w:ind w:left="0" w:firstLine="0"/>
        <w:outlineLvl w:val="1"/>
        <w:rPr>
          <w:rFonts w:ascii="Times New Roman" w:hAnsi="Times New Roman" w:cs="Times New Roman"/>
          <w:sz w:val="24"/>
          <w:szCs w:val="24"/>
        </w:rPr>
      </w:pPr>
      <w:r w:rsidRPr="000125C6">
        <w:rPr>
          <w:rFonts w:ascii="Times New Roman" w:eastAsia="Calibri" w:hAnsi="Times New Roman" w:cs="Times New Roman"/>
          <w:sz w:val="24"/>
          <w:szCs w:val="24"/>
        </w:rPr>
        <w:t>Prekių pakuotės turi būti laikytinos perdirbamosiomis pakuotėmis pagal Lietuvos Respublikos mokesčio už aplinkos trešimą įstatymo nuostatas arba prekės turi būti pristatomos daugkartinio panaudojimo pakuotėse. Atitikimą reikalavimui perkančioji organizacija tikrins sutarties vykdymo metu.</w:t>
      </w:r>
    </w:p>
    <w:p w:rsidR="00BE5037" w:rsidRPr="000125C6" w:rsidRDefault="00BE5037" w:rsidP="00BE5037">
      <w:pPr>
        <w:numPr>
          <w:ilvl w:val="0"/>
          <w:numId w:val="1"/>
        </w:numPr>
        <w:tabs>
          <w:tab w:val="left" w:pos="284"/>
          <w:tab w:val="left" w:pos="720"/>
        </w:tabs>
        <w:spacing w:line="254" w:lineRule="auto"/>
        <w:ind w:left="0" w:firstLine="0"/>
        <w:contextualSpacing/>
        <w:rPr>
          <w:rFonts w:ascii="Times New Roman" w:hAnsi="Times New Roman" w:cs="Times New Roman"/>
          <w:sz w:val="24"/>
          <w:szCs w:val="24"/>
        </w:rPr>
      </w:pPr>
      <w:r w:rsidRPr="000125C6">
        <w:rPr>
          <w:rFonts w:ascii="Times New Roman" w:hAnsi="Times New Roman" w:cs="Times New Roman"/>
          <w:sz w:val="24"/>
          <w:szCs w:val="24"/>
        </w:rPr>
        <w:t>Pristatydamas pieno pakaitalus tiekėjas turi užtikrinti, kad pieno pakaitalai būtų tinkamai paruošti jų transportavimui ir iškrovimui, bei apsaugoti nuo išorinių veiksnių transportavimo metu.</w:t>
      </w:r>
    </w:p>
    <w:p w:rsidR="00BE5037" w:rsidRPr="000125C6" w:rsidRDefault="00BE5037" w:rsidP="00BE5037">
      <w:pPr>
        <w:numPr>
          <w:ilvl w:val="0"/>
          <w:numId w:val="1"/>
        </w:numPr>
        <w:tabs>
          <w:tab w:val="left" w:pos="284"/>
          <w:tab w:val="left" w:pos="720"/>
        </w:tabs>
        <w:spacing w:line="254" w:lineRule="auto"/>
        <w:ind w:left="0" w:firstLine="0"/>
        <w:contextualSpacing/>
        <w:rPr>
          <w:rFonts w:ascii="Times New Roman" w:hAnsi="Times New Roman" w:cs="Times New Roman"/>
          <w:sz w:val="24"/>
          <w:szCs w:val="24"/>
        </w:rPr>
      </w:pPr>
      <w:r w:rsidRPr="000125C6">
        <w:rPr>
          <w:rFonts w:ascii="Times New Roman" w:eastAsia="Times New Roman" w:hAnsi="Times New Roman" w:cs="Times New Roman"/>
          <w:bCs/>
          <w:kern w:val="2"/>
          <w:sz w:val="24"/>
          <w:lang w:eastAsia="x-none"/>
          <w14:ligatures w14:val="standardContextual"/>
        </w:rPr>
        <w:t>Perkami pašarai turi atitikti 2000 m. balandžio 6 d. Nr. VIII-1610 Lietuvos Respublikos pašarų įstatyme nustatytus reikalavimus.</w:t>
      </w:r>
    </w:p>
    <w:p w:rsidR="00BE5037" w:rsidRPr="000125C6" w:rsidRDefault="00BE5037" w:rsidP="00BE5037">
      <w:pPr>
        <w:tabs>
          <w:tab w:val="left" w:pos="810"/>
          <w:tab w:val="left" w:pos="990"/>
        </w:tabs>
        <w:rPr>
          <w:rFonts w:ascii="Times New Roman" w:eastAsia="Calibri" w:hAnsi="Times New Roman" w:cs="Times New Roman"/>
          <w:color w:val="7030A0"/>
        </w:rPr>
      </w:pPr>
    </w:p>
    <w:p w:rsidR="00384DAA" w:rsidRDefault="00384DAA">
      <w:bookmarkStart w:id="1" w:name="_GoBack"/>
      <w:bookmarkEnd w:id="1"/>
    </w:p>
    <w:sectPr w:rsidR="00384DAA" w:rsidSect="00B127EF">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37398"/>
    <w:multiLevelType w:val="multilevel"/>
    <w:tmpl w:val="AB186078"/>
    <w:lvl w:ilvl="0">
      <w:start w:val="1"/>
      <w:numFmt w:val="decimal"/>
      <w:lvlText w:val="%1."/>
      <w:lvlJc w:val="left"/>
      <w:pPr>
        <w:ind w:left="1070" w:hanging="360"/>
      </w:pPr>
    </w:lvl>
    <w:lvl w:ilvl="1">
      <w:start w:val="1"/>
      <w:numFmt w:val="decimal"/>
      <w:isLgl/>
      <w:lvlText w:val="%1.%2."/>
      <w:lvlJc w:val="left"/>
      <w:pPr>
        <w:ind w:left="360" w:hanging="360"/>
      </w:pPr>
      <w:rPr>
        <w:b w:val="0"/>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A13"/>
    <w:rsid w:val="00384DAA"/>
    <w:rsid w:val="005A5B2F"/>
    <w:rsid w:val="006F5A13"/>
    <w:rsid w:val="00B127EF"/>
    <w:rsid w:val="00BE5037"/>
    <w:rsid w:val="00D50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868B"/>
  <w15:chartTrackingRefBased/>
  <w15:docId w15:val="{F936EA20-40E6-4413-87A8-DF775E23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7EF"/>
    <w:pPr>
      <w:spacing w:after="0" w:line="300" w:lineRule="auto"/>
      <w:ind w:firstLine="697"/>
      <w:jc w:val="both"/>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1545</Words>
  <Characters>882</Characters>
  <Application>Microsoft Office Word</Application>
  <DocSecurity>0</DocSecurity>
  <Lines>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2024-12-13T11:21:00Z</dcterms:created>
  <dcterms:modified xsi:type="dcterms:W3CDTF">2024-12-16T08:40:00Z</dcterms:modified>
</cp:coreProperties>
</file>