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BFEC" w14:textId="5515AA2C" w:rsidR="00F207E1" w:rsidRPr="009F793E" w:rsidRDefault="00F207E1" w:rsidP="002B409F">
      <w:pPr>
        <w:jc w:val="center"/>
        <w:rPr>
          <w:rFonts w:ascii="Times New Roman" w:eastAsia="Calibri" w:hAnsi="Times New Roman" w:cs="Times New Roman"/>
          <w:sz w:val="24"/>
          <w:szCs w:val="24"/>
        </w:rPr>
      </w:pPr>
      <w:r w:rsidRPr="009F793E">
        <w:rPr>
          <w:rFonts w:ascii="Times New Roman" w:eastAsia="Calibri" w:hAnsi="Times New Roman" w:cs="Times New Roman"/>
          <w:sz w:val="24"/>
          <w:szCs w:val="24"/>
        </w:rPr>
        <w:t>Atsakymai į klausimus</w:t>
      </w:r>
    </w:p>
    <w:p w14:paraId="48B278B5" w14:textId="7AE6A049" w:rsidR="00F207E1" w:rsidRPr="009F793E" w:rsidRDefault="00F207E1" w:rsidP="002B409F">
      <w:pPr>
        <w:jc w:val="center"/>
        <w:rPr>
          <w:rFonts w:ascii="Times New Roman" w:eastAsia="Calibri" w:hAnsi="Times New Roman" w:cs="Times New Roman"/>
          <w:sz w:val="24"/>
          <w:szCs w:val="24"/>
        </w:rPr>
      </w:pPr>
      <w:r w:rsidRPr="009F793E">
        <w:rPr>
          <w:rFonts w:ascii="Times New Roman" w:eastAsia="Calibri" w:hAnsi="Times New Roman" w:cs="Times New Roman"/>
          <w:sz w:val="24"/>
          <w:szCs w:val="24"/>
        </w:rPr>
        <w:t>2025-</w:t>
      </w:r>
      <w:r w:rsidR="00594544" w:rsidRPr="009F793E">
        <w:rPr>
          <w:rFonts w:ascii="Times New Roman" w:eastAsia="Calibri" w:hAnsi="Times New Roman" w:cs="Times New Roman"/>
          <w:sz w:val="24"/>
          <w:szCs w:val="24"/>
        </w:rPr>
        <w:t>10-</w:t>
      </w:r>
      <w:r w:rsidR="00590E3D" w:rsidRPr="009F793E">
        <w:rPr>
          <w:rFonts w:ascii="Times New Roman" w:eastAsia="Calibri" w:hAnsi="Times New Roman" w:cs="Times New Roman"/>
          <w:sz w:val="24"/>
          <w:szCs w:val="24"/>
        </w:rPr>
        <w:t>1</w:t>
      </w:r>
      <w:r w:rsidR="003126A4" w:rsidRPr="009F793E">
        <w:rPr>
          <w:rFonts w:ascii="Times New Roman" w:eastAsia="Calibri" w:hAnsi="Times New Roman" w:cs="Times New Roman"/>
          <w:sz w:val="24"/>
          <w:szCs w:val="24"/>
        </w:rPr>
        <w:t>5</w:t>
      </w:r>
      <w:r w:rsidRPr="009F793E">
        <w:rPr>
          <w:rFonts w:ascii="Times New Roman" w:eastAsia="Calibri" w:hAnsi="Times New Roman" w:cs="Times New Roman"/>
          <w:sz w:val="24"/>
          <w:szCs w:val="24"/>
        </w:rPr>
        <w:br/>
      </w:r>
    </w:p>
    <w:p w14:paraId="1EB0D230" w14:textId="77777777" w:rsidR="003126A4" w:rsidRPr="009F793E" w:rsidRDefault="003126A4" w:rsidP="002B409F">
      <w:pPr>
        <w:jc w:val="center"/>
        <w:rPr>
          <w:rFonts w:ascii="Times New Roman" w:eastAsia="Calibri" w:hAnsi="Times New Roman" w:cs="Times New Roman"/>
          <w:sz w:val="24"/>
          <w:szCs w:val="24"/>
        </w:rPr>
      </w:pPr>
    </w:p>
    <w:p w14:paraId="7D1BAB49" w14:textId="77777777" w:rsidR="003126A4" w:rsidRPr="009F793E" w:rsidRDefault="003126A4" w:rsidP="003126A4">
      <w:pPr>
        <w:pStyle w:val="Default"/>
      </w:pPr>
    </w:p>
    <w:p w14:paraId="2986F8DF" w14:textId="63AB6721" w:rsidR="003126A4" w:rsidRPr="009F793E" w:rsidRDefault="003126A4" w:rsidP="003126A4">
      <w:pPr>
        <w:pStyle w:val="Default"/>
        <w:jc w:val="both"/>
        <w:rPr>
          <w:color w:val="00231A"/>
          <w:sz w:val="23"/>
          <w:szCs w:val="23"/>
        </w:rPr>
      </w:pPr>
      <w:r w:rsidRPr="009F793E">
        <w:t>1.</w:t>
      </w:r>
      <w:r w:rsidRPr="009F793E">
        <w:t xml:space="preserve"> </w:t>
      </w:r>
      <w:r w:rsidRPr="009F793E">
        <w:rPr>
          <w:color w:val="00231A"/>
          <w:sz w:val="23"/>
          <w:szCs w:val="23"/>
        </w:rPr>
        <w:t xml:space="preserve">Išanalizavę CVP priemonėmis paskelbtą konkurso medžiagą, teikiame šį paklausimą. Siūlome perkančiajai organizacijai keisti techninius parametrus taip, kad nebūtų suvaržytos tiekėjų, iš tiesų galinčių tinkamai įvykdyti viešojo pirkimo sutartį, teisės. </w:t>
      </w:r>
    </w:p>
    <w:p w14:paraId="3A064579" w14:textId="77777777" w:rsidR="003126A4" w:rsidRPr="009F793E" w:rsidRDefault="003126A4" w:rsidP="003126A4">
      <w:pPr>
        <w:pStyle w:val="Default"/>
        <w:jc w:val="both"/>
        <w:rPr>
          <w:sz w:val="23"/>
          <w:szCs w:val="23"/>
        </w:rPr>
      </w:pPr>
      <w:r w:rsidRPr="009F793E">
        <w:rPr>
          <w:sz w:val="23"/>
          <w:szCs w:val="23"/>
        </w:rPr>
        <w:t xml:space="preserve">Atkreipiame dėmesį į antros pirkimo dalies pav. “Reagentai ir papildomos priemonės WBC5-DIFF analizatoriui bei automatizuotam CRB tyrimų analizatoriui-1 komplektas arba WBC-5 dalių bendro kraujo su CRB analizatorius “ lentelę nr. 2.2 pav. “Techniniai reikalavimai panaudai siūlomam AUTOMATIZUOTAM CRB ANALIZATORIUI – 1 vnt. “ p.nr. 2 “Analizatoriaus bendra charakteristika” kuriuo PO reikalauja, “Analizatoriaus mėginio adata automatiškai paima mėginį (kraujas, serumas, plazma) iš pirminio vakuuminio arba kapiliarinio kraujo surinkimo mėgintuvėlio. Mėginio ir reagento išmaišymas bei inkubacija vyksta analizatoriuje. “ prašome </w:t>
      </w:r>
      <w:r w:rsidRPr="009F793E">
        <w:rPr>
          <w:color w:val="1154CC"/>
          <w:sz w:val="23"/>
          <w:szCs w:val="23"/>
        </w:rPr>
        <w:t>p.nr</w:t>
      </w:r>
      <w:r w:rsidRPr="009F793E">
        <w:rPr>
          <w:sz w:val="23"/>
          <w:szCs w:val="23"/>
        </w:rPr>
        <w:t xml:space="preserve">. 2, keisti sekančiai: </w:t>
      </w:r>
    </w:p>
    <w:p w14:paraId="1DA41138" w14:textId="77777777" w:rsidR="003126A4" w:rsidRPr="009F793E" w:rsidRDefault="003126A4" w:rsidP="003126A4">
      <w:pPr>
        <w:pStyle w:val="Default"/>
        <w:jc w:val="both"/>
        <w:rPr>
          <w:sz w:val="23"/>
          <w:szCs w:val="23"/>
        </w:rPr>
      </w:pPr>
      <w:r w:rsidRPr="009F793E">
        <w:rPr>
          <w:sz w:val="23"/>
          <w:szCs w:val="23"/>
        </w:rPr>
        <w:t xml:space="preserve">“Analizatoriaus mėginio adata automatiškai paima mėginį (kraujas) iš pirminio vakuuminio arba kapiliarinio kraujo surinkimo mėgintuvėlio. Mėginio ir reagento išmaišymas bei inkubacija vyksta analizatoriuje.” </w:t>
      </w:r>
    </w:p>
    <w:p w14:paraId="3A355827" w14:textId="77777777" w:rsidR="003126A4" w:rsidRPr="009F793E" w:rsidRDefault="003126A4" w:rsidP="003126A4">
      <w:pPr>
        <w:pStyle w:val="Default"/>
        <w:jc w:val="both"/>
        <w:rPr>
          <w:sz w:val="23"/>
          <w:szCs w:val="23"/>
        </w:rPr>
      </w:pPr>
      <w:r w:rsidRPr="009F793E">
        <w:rPr>
          <w:sz w:val="23"/>
          <w:szCs w:val="23"/>
        </w:rPr>
        <w:t xml:space="preserve">Manome, kad toks konkretus reikalavimas riboja konkurenciją, nes jis nepagrįstai apriboja galimų tiekėjų ratą, suteikdamas pranašumą tik tiems ūkio subjektams, kurie atitinka siaurai apibrėžtas sąlygas, o ne vertinant pasiūlymų kokybę ar ekonominį naudingumą. </w:t>
      </w:r>
    </w:p>
    <w:p w14:paraId="2B839C99" w14:textId="77777777" w:rsidR="003126A4" w:rsidRPr="009F793E" w:rsidRDefault="003126A4" w:rsidP="003126A4">
      <w:pPr>
        <w:pStyle w:val="Default"/>
        <w:jc w:val="both"/>
        <w:rPr>
          <w:sz w:val="23"/>
          <w:szCs w:val="23"/>
        </w:rPr>
      </w:pPr>
      <w:r w:rsidRPr="009F793E">
        <w:rPr>
          <w:sz w:val="23"/>
          <w:szCs w:val="23"/>
        </w:rPr>
        <w:t xml:space="preserve">Atkreipiame dėmesį į </w:t>
      </w:r>
      <w:r w:rsidRPr="009F793E">
        <w:rPr>
          <w:color w:val="1154CC"/>
          <w:sz w:val="23"/>
          <w:szCs w:val="23"/>
        </w:rPr>
        <w:t>p.nr</w:t>
      </w:r>
      <w:r w:rsidRPr="009F793E">
        <w:rPr>
          <w:sz w:val="23"/>
          <w:szCs w:val="23"/>
        </w:rPr>
        <w:t xml:space="preserve">. 3 kurio reikalaujamas techninis parametras “Mėginys bendras </w:t>
      </w:r>
      <w:r w:rsidRPr="009F793E">
        <w:rPr>
          <w:i/>
          <w:iCs/>
          <w:sz w:val="23"/>
          <w:szCs w:val="23"/>
        </w:rPr>
        <w:t xml:space="preserve">kraujas, serumas, plazma” ir prašome </w:t>
      </w:r>
      <w:r w:rsidRPr="009F793E">
        <w:rPr>
          <w:color w:val="1154CC"/>
          <w:sz w:val="23"/>
          <w:szCs w:val="23"/>
        </w:rPr>
        <w:t>p.nr</w:t>
      </w:r>
      <w:r w:rsidRPr="009F793E">
        <w:rPr>
          <w:sz w:val="23"/>
          <w:szCs w:val="23"/>
        </w:rPr>
        <w:t xml:space="preserve">. 3,suformuluoti sekančiai: </w:t>
      </w:r>
    </w:p>
    <w:p w14:paraId="1E3BC042" w14:textId="77777777" w:rsidR="00D93665" w:rsidRPr="009F793E" w:rsidRDefault="003126A4" w:rsidP="00D93665">
      <w:pPr>
        <w:pStyle w:val="Default"/>
        <w:jc w:val="both"/>
        <w:rPr>
          <w:sz w:val="23"/>
          <w:szCs w:val="23"/>
        </w:rPr>
      </w:pPr>
      <w:r w:rsidRPr="009F793E">
        <w:rPr>
          <w:sz w:val="23"/>
          <w:szCs w:val="23"/>
        </w:rPr>
        <w:t xml:space="preserve">“Mėginys - bendras kraujas” </w:t>
      </w:r>
      <w:r w:rsidR="00D93665" w:rsidRPr="009F793E">
        <w:rPr>
          <w:sz w:val="23"/>
          <w:szCs w:val="23"/>
        </w:rPr>
        <w:t xml:space="preserve">Prašymą pakeisti konkretų punktą grindžiama tuo, kad analizatorius, dirbantis su bendru krauju, yra praktiškesnis, greitesnis ir ekonomiškesnis sprendimas, užtikrinantis patikimus rezultatus su mažesnėmis darbo ir laiko sąnaudomis. </w:t>
      </w:r>
    </w:p>
    <w:p w14:paraId="754B72E0" w14:textId="77777777" w:rsidR="00D93665" w:rsidRPr="00D93665" w:rsidRDefault="00D93665" w:rsidP="00D93665">
      <w:pPr>
        <w:pStyle w:val="Default"/>
        <w:jc w:val="both"/>
        <w:rPr>
          <w:sz w:val="23"/>
          <w:szCs w:val="23"/>
        </w:rPr>
      </w:pPr>
      <w:r w:rsidRPr="00D93665">
        <w:rPr>
          <w:sz w:val="23"/>
          <w:szCs w:val="23"/>
        </w:rPr>
        <w:t xml:space="preserve">Prašome pakeisti p.nr. 5 “Mėginio tūris ne daugiau 20μl” sekančiai: </w:t>
      </w:r>
    </w:p>
    <w:p w14:paraId="6A82DF7A" w14:textId="77777777" w:rsidR="00D93665" w:rsidRPr="00D93665" w:rsidRDefault="00D93665" w:rsidP="00D93665">
      <w:pPr>
        <w:pStyle w:val="Default"/>
        <w:jc w:val="both"/>
        <w:rPr>
          <w:sz w:val="23"/>
          <w:szCs w:val="23"/>
        </w:rPr>
      </w:pPr>
      <w:r w:rsidRPr="00D93665">
        <w:rPr>
          <w:sz w:val="23"/>
          <w:szCs w:val="23"/>
        </w:rPr>
        <w:t xml:space="preserve">“Mėginio tūris ne daugiau nei 22 </w:t>
      </w:r>
      <w:proofErr w:type="spellStart"/>
      <w:r w:rsidRPr="00D93665">
        <w:rPr>
          <w:sz w:val="23"/>
          <w:szCs w:val="23"/>
        </w:rPr>
        <w:t>μl</w:t>
      </w:r>
      <w:proofErr w:type="spellEnd"/>
      <w:r w:rsidRPr="00D93665">
        <w:rPr>
          <w:sz w:val="23"/>
          <w:szCs w:val="23"/>
        </w:rPr>
        <w:t xml:space="preserve">” </w:t>
      </w:r>
    </w:p>
    <w:p w14:paraId="39C43EEF" w14:textId="77777777" w:rsidR="00D93665" w:rsidRPr="00D93665" w:rsidRDefault="00D93665" w:rsidP="00D93665">
      <w:pPr>
        <w:pStyle w:val="Default"/>
        <w:jc w:val="both"/>
        <w:rPr>
          <w:sz w:val="23"/>
          <w:szCs w:val="23"/>
        </w:rPr>
      </w:pPr>
      <w:r w:rsidRPr="00D93665">
        <w:rPr>
          <w:sz w:val="23"/>
          <w:szCs w:val="23"/>
        </w:rPr>
        <w:t xml:space="preserve">Manome, kad didesnis mėginio kiekis, Perkančiajai organizacijai yra naudingiau, kadangi didesnis mėginio tūris didina tyrimo tikslumą, patikimumą ir užtikrina lankstumą papildomiems ar kontroliniams tyrimams. </w:t>
      </w:r>
    </w:p>
    <w:p w14:paraId="38AF3B14" w14:textId="77777777" w:rsidR="00D93665" w:rsidRPr="00D93665" w:rsidRDefault="00D93665" w:rsidP="00D93665">
      <w:pPr>
        <w:pStyle w:val="Default"/>
        <w:jc w:val="both"/>
        <w:rPr>
          <w:sz w:val="23"/>
          <w:szCs w:val="23"/>
        </w:rPr>
      </w:pPr>
      <w:r w:rsidRPr="00D93665">
        <w:rPr>
          <w:sz w:val="23"/>
          <w:szCs w:val="23"/>
        </w:rPr>
        <w:t xml:space="preserve">Siūlome atkreipti dėmesį į p.nr.6 “Matavimo </w:t>
      </w:r>
      <w:proofErr w:type="spellStart"/>
      <w:r w:rsidRPr="00D93665">
        <w:rPr>
          <w:sz w:val="23"/>
          <w:szCs w:val="23"/>
        </w:rPr>
        <w:t>linijiškumas</w:t>
      </w:r>
      <w:proofErr w:type="spellEnd"/>
      <w:r w:rsidRPr="00D93665">
        <w:rPr>
          <w:sz w:val="23"/>
          <w:szCs w:val="23"/>
        </w:rPr>
        <w:t xml:space="preserve"> CRB (bendras kraujas) 2-220 mg/l, CRB (serumas, plazma) 2-200 mg/l. “ Prašome p.nr. 6 keisti sekančiai: </w:t>
      </w:r>
    </w:p>
    <w:p w14:paraId="357A4974" w14:textId="77777777" w:rsidR="00D93665" w:rsidRPr="00D93665" w:rsidRDefault="00D93665" w:rsidP="00D93665">
      <w:pPr>
        <w:pStyle w:val="Default"/>
        <w:jc w:val="both"/>
        <w:rPr>
          <w:sz w:val="23"/>
          <w:szCs w:val="23"/>
        </w:rPr>
      </w:pPr>
      <w:r w:rsidRPr="00D93665">
        <w:rPr>
          <w:sz w:val="23"/>
          <w:szCs w:val="23"/>
        </w:rPr>
        <w:t xml:space="preserve">“Matavimo </w:t>
      </w:r>
      <w:proofErr w:type="spellStart"/>
      <w:r w:rsidRPr="00D93665">
        <w:rPr>
          <w:sz w:val="23"/>
          <w:szCs w:val="23"/>
        </w:rPr>
        <w:t>linijiškumas</w:t>
      </w:r>
      <w:proofErr w:type="spellEnd"/>
      <w:r w:rsidRPr="00D93665">
        <w:rPr>
          <w:sz w:val="23"/>
          <w:szCs w:val="23"/>
        </w:rPr>
        <w:t xml:space="preserve"> CRB (bendras kraujas) 2-220 mg/l” </w:t>
      </w:r>
    </w:p>
    <w:p w14:paraId="2F60C327" w14:textId="77777777" w:rsidR="00D93665" w:rsidRPr="00D93665" w:rsidRDefault="00D93665" w:rsidP="00D93665">
      <w:pPr>
        <w:pStyle w:val="Default"/>
        <w:jc w:val="both"/>
        <w:rPr>
          <w:sz w:val="23"/>
          <w:szCs w:val="23"/>
        </w:rPr>
      </w:pPr>
      <w:r w:rsidRPr="00D93665">
        <w:rPr>
          <w:sz w:val="23"/>
          <w:szCs w:val="23"/>
        </w:rPr>
        <w:t xml:space="preserve">Konkretus reikalavimas yra perteklinis ir ribojantis konkurenciją, nes jis nepagrįstai siaurina galimų tiekėjų ratą, nesusijęs su objektyvia poreikio ar funkcinių savybių būtinybe. Toks reikalavimas diskriminuoja tiekėjus, neatitinkančius dirbtinai suformuotų techninių kriterijų, ir pažeidžia lygiateisiškumo bei proporcingumo principus. </w:t>
      </w:r>
    </w:p>
    <w:p w14:paraId="164F7949" w14:textId="77777777" w:rsidR="003126A4" w:rsidRPr="009F793E" w:rsidRDefault="003126A4" w:rsidP="004A5A2A">
      <w:pPr>
        <w:rPr>
          <w:rFonts w:ascii="Times New Roman" w:eastAsia="Calibri" w:hAnsi="Times New Roman" w:cs="Times New Roman"/>
          <w:sz w:val="24"/>
          <w:szCs w:val="24"/>
        </w:rPr>
      </w:pPr>
    </w:p>
    <w:p w14:paraId="660759AE" w14:textId="623C3EC2" w:rsidR="00F207E1" w:rsidRPr="009F793E" w:rsidRDefault="00F207E1" w:rsidP="00F207E1">
      <w:pPr>
        <w:ind w:left="720"/>
        <w:contextualSpacing/>
        <w:rPr>
          <w:rFonts w:ascii="Times New Roman" w:eastAsia="Calibri" w:hAnsi="Times New Roman" w:cs="Times New Roman"/>
          <w:b/>
          <w:bCs/>
          <w:sz w:val="24"/>
          <w:szCs w:val="24"/>
        </w:rPr>
      </w:pPr>
      <w:r w:rsidRPr="009F793E">
        <w:rPr>
          <w:rFonts w:ascii="Times New Roman" w:eastAsia="Calibri" w:hAnsi="Times New Roman" w:cs="Times New Roman"/>
          <w:b/>
          <w:bCs/>
          <w:sz w:val="24"/>
          <w:szCs w:val="24"/>
        </w:rPr>
        <w:t>Atsakymai.</w:t>
      </w:r>
    </w:p>
    <w:p w14:paraId="49DF4D94" w14:textId="77777777" w:rsidR="009079F3" w:rsidRPr="009F793E" w:rsidRDefault="009079F3" w:rsidP="00F207E1">
      <w:pPr>
        <w:ind w:left="720"/>
        <w:contextualSpacing/>
        <w:rPr>
          <w:rFonts w:ascii="Times New Roman" w:eastAsia="Calibri" w:hAnsi="Times New Roman" w:cs="Times New Roman"/>
          <w:b/>
          <w:bCs/>
          <w:sz w:val="24"/>
          <w:szCs w:val="24"/>
        </w:rPr>
      </w:pPr>
    </w:p>
    <w:p w14:paraId="47654EEB"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Dėl 2 pirkimo dalies</w:t>
      </w:r>
      <w:r w:rsidRPr="009F793E">
        <w:rPr>
          <w:rFonts w:ascii="Times New Roman" w:hAnsi="Times New Roman" w:cs="Times New Roman"/>
          <w:i/>
          <w:iCs/>
          <w:sz w:val="24"/>
          <w:szCs w:val="24"/>
        </w:rPr>
        <w:t xml:space="preserve"> </w:t>
      </w:r>
      <w:r w:rsidRPr="009F793E">
        <w:rPr>
          <w:rFonts w:ascii="Times New Roman" w:hAnsi="Times New Roman" w:cs="Times New Roman"/>
          <w:b/>
          <w:bCs/>
          <w:i/>
          <w:iCs/>
          <w:sz w:val="24"/>
          <w:szCs w:val="24"/>
        </w:rPr>
        <w:t xml:space="preserve">2.2. lentelė. </w:t>
      </w:r>
      <w:r w:rsidRPr="009F793E">
        <w:rPr>
          <w:rFonts w:ascii="Times New Roman" w:hAnsi="Times New Roman" w:cs="Times New Roman"/>
          <w:sz w:val="24"/>
          <w:szCs w:val="24"/>
        </w:rPr>
        <w:t>Techniniai reikalavimai panaudai siūlomam</w:t>
      </w:r>
      <w:r w:rsidRPr="009F793E">
        <w:rPr>
          <w:rFonts w:ascii="Times New Roman" w:hAnsi="Times New Roman" w:cs="Times New Roman"/>
          <w:b/>
          <w:bCs/>
          <w:i/>
          <w:iCs/>
          <w:sz w:val="24"/>
          <w:szCs w:val="24"/>
        </w:rPr>
        <w:t xml:space="preserve"> AUTOMATIZUOTAM  CRB  ANALIZATORIUI – 1 vnt.</w:t>
      </w:r>
      <w:r w:rsidRPr="009F793E">
        <w:rPr>
          <w:rFonts w:ascii="Times New Roman" w:hAnsi="Times New Roman" w:cs="Times New Roman"/>
          <w:b/>
          <w:bCs/>
          <w:sz w:val="24"/>
          <w:szCs w:val="24"/>
        </w:rPr>
        <w:t xml:space="preserve">   </w:t>
      </w:r>
      <w:r w:rsidRPr="009F793E">
        <w:rPr>
          <w:rFonts w:ascii="Times New Roman" w:hAnsi="Times New Roman" w:cs="Times New Roman"/>
          <w:sz w:val="24"/>
          <w:szCs w:val="24"/>
        </w:rPr>
        <w:t>p.Nr.2, p.Nr.3, p.Nr.5, p.Nr.6 – reikalavimai nekeičiami.</w:t>
      </w:r>
    </w:p>
    <w:p w14:paraId="14916A49"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Klausimas: p.nr. 2</w:t>
      </w:r>
      <w:r w:rsidRPr="009F793E">
        <w:rPr>
          <w:rFonts w:ascii="Times New Roman" w:hAnsi="Times New Roman" w:cs="Times New Roman"/>
          <w:sz w:val="24"/>
          <w:szCs w:val="24"/>
        </w:rPr>
        <w:t xml:space="preserve"> “Analizatoriaus bendra charakteristika” kuriuo PO reikalauja, “Analizatoriaus mėginio adata automatiškai paima mėginį </w:t>
      </w:r>
      <w:r w:rsidRPr="009F793E">
        <w:rPr>
          <w:rFonts w:ascii="Times New Roman" w:hAnsi="Times New Roman" w:cs="Times New Roman"/>
          <w:b/>
          <w:sz w:val="24"/>
          <w:szCs w:val="24"/>
        </w:rPr>
        <w:t xml:space="preserve">(kraujas, serumas, plazma) </w:t>
      </w:r>
      <w:r w:rsidRPr="009F793E">
        <w:rPr>
          <w:rFonts w:ascii="Times New Roman" w:hAnsi="Times New Roman" w:cs="Times New Roman"/>
          <w:sz w:val="24"/>
          <w:szCs w:val="24"/>
        </w:rPr>
        <w:t xml:space="preserve">iš pirminio vakuuminio arba kapiliarinio kraujo surinkimo mėgintuvėlio. Mėginio ir reagento išmaišymas bei inkubacija vyksta analizatoriuje. “ prašome </w:t>
      </w:r>
      <w:hyperlink r:id="rId5"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xml:space="preserve"> 2, keisti sekančiai:</w:t>
      </w:r>
    </w:p>
    <w:p w14:paraId="29A72EFD"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sz w:val="24"/>
          <w:szCs w:val="24"/>
        </w:rPr>
        <w:lastRenderedPageBreak/>
        <w:t>“Analizatoriaus mėginio adata automatiškai paima mėginį (</w:t>
      </w:r>
      <w:r w:rsidRPr="009F793E">
        <w:rPr>
          <w:rFonts w:ascii="Times New Roman" w:hAnsi="Times New Roman" w:cs="Times New Roman"/>
          <w:b/>
          <w:sz w:val="24"/>
          <w:szCs w:val="24"/>
        </w:rPr>
        <w:t>kraujas</w:t>
      </w:r>
      <w:r w:rsidRPr="009F793E">
        <w:rPr>
          <w:rFonts w:ascii="Times New Roman" w:hAnsi="Times New Roman" w:cs="Times New Roman"/>
          <w:sz w:val="24"/>
          <w:szCs w:val="24"/>
        </w:rPr>
        <w:t>) iš pirminio vakuuminio arba kapiliarinio kraujo surinkimo mėgintuvėlio. Mėginio ir reagento išmaišymas bei inkubacija vyksta analizatoriuje.”</w:t>
      </w:r>
    </w:p>
    <w:p w14:paraId="0DC269CB"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Atsakymas</w:t>
      </w:r>
      <w:r w:rsidRPr="009F793E">
        <w:rPr>
          <w:rFonts w:ascii="Times New Roman" w:hAnsi="Times New Roman" w:cs="Times New Roman"/>
          <w:sz w:val="24"/>
          <w:szCs w:val="24"/>
        </w:rPr>
        <w:t xml:space="preserve">:  p.Nr.2  Siūlomas sprendimas neužtikrina įstaigos poreikio, kadangi CRB mėginys patenkantis į laboratoriją yra įvairaus tipo: bendras kraujas, serumas, plazma. Visi trys tipai yra būtini užsakomų tyrimų atlikimui. </w:t>
      </w:r>
    </w:p>
    <w:p w14:paraId="766147F7" w14:textId="77777777" w:rsidR="009F793E" w:rsidRPr="009F793E" w:rsidRDefault="009F793E" w:rsidP="009F793E">
      <w:pPr>
        <w:spacing w:line="278" w:lineRule="auto"/>
        <w:jc w:val="both"/>
        <w:rPr>
          <w:rFonts w:ascii="Times New Roman" w:hAnsi="Times New Roman" w:cs="Times New Roman"/>
          <w:i/>
          <w:sz w:val="24"/>
          <w:szCs w:val="24"/>
        </w:rPr>
      </w:pPr>
      <w:r w:rsidRPr="009F793E">
        <w:rPr>
          <w:rFonts w:ascii="Times New Roman" w:hAnsi="Times New Roman" w:cs="Times New Roman"/>
          <w:b/>
          <w:bCs/>
          <w:sz w:val="24"/>
          <w:szCs w:val="24"/>
        </w:rPr>
        <w:t>Klausimas:</w:t>
      </w:r>
      <w:r w:rsidRPr="009F793E">
        <w:rPr>
          <w:rFonts w:ascii="Times New Roman" w:hAnsi="Times New Roman" w:cs="Times New Roman"/>
          <w:sz w:val="24"/>
          <w:szCs w:val="24"/>
        </w:rPr>
        <w:t xml:space="preserve"> Atkreipiame dėmesį į </w:t>
      </w:r>
      <w:hyperlink r:id="rId6"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3 kurio reikalaujamas techninis parametras “</w:t>
      </w:r>
      <w:r w:rsidRPr="009F793E">
        <w:rPr>
          <w:rFonts w:ascii="Times New Roman" w:hAnsi="Times New Roman" w:cs="Times New Roman"/>
          <w:i/>
          <w:sz w:val="24"/>
          <w:szCs w:val="24"/>
        </w:rPr>
        <w:t xml:space="preserve">Mėginys bendras kraujas, serumas, plazma” </w:t>
      </w:r>
      <w:r w:rsidRPr="009F793E">
        <w:rPr>
          <w:rFonts w:ascii="Times New Roman" w:hAnsi="Times New Roman" w:cs="Times New Roman"/>
          <w:sz w:val="24"/>
          <w:szCs w:val="24"/>
        </w:rPr>
        <w:t xml:space="preserve">ir prašome </w:t>
      </w:r>
      <w:hyperlink r:id="rId7"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xml:space="preserve"> 3,suformuluoti sekančiai: </w:t>
      </w:r>
      <w:r w:rsidRPr="009F793E">
        <w:rPr>
          <w:rFonts w:ascii="Times New Roman" w:hAnsi="Times New Roman" w:cs="Times New Roman"/>
          <w:sz w:val="24"/>
          <w:szCs w:val="24"/>
          <w:u w:val="single"/>
        </w:rPr>
        <w:t>“</w:t>
      </w:r>
      <w:r w:rsidRPr="009F793E">
        <w:rPr>
          <w:rFonts w:ascii="Times New Roman" w:hAnsi="Times New Roman" w:cs="Times New Roman"/>
          <w:sz w:val="24"/>
          <w:szCs w:val="24"/>
        </w:rPr>
        <w:t>Mėginys - bendras kraujas”</w:t>
      </w:r>
    </w:p>
    <w:p w14:paraId="0D12C9EA"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sz w:val="24"/>
          <w:szCs w:val="24"/>
        </w:rPr>
        <w:t>Atsakymas:   p.Nr.3  Siūlomas sprendimas neužtikrina įstaigos poreikio, nes analizatorius privalo turėti galimybę atlikti CRB tyrimus iš trijų mėginių tipo: bendras kraujas, serumas, plazma.</w:t>
      </w:r>
    </w:p>
    <w:p w14:paraId="24D8E12A"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Klausimas:</w:t>
      </w:r>
      <w:r w:rsidRPr="009F793E">
        <w:rPr>
          <w:rFonts w:ascii="Times New Roman" w:hAnsi="Times New Roman" w:cs="Times New Roman"/>
          <w:sz w:val="24"/>
          <w:szCs w:val="24"/>
        </w:rPr>
        <w:t xml:space="preserve"> Prašome pakeisti </w:t>
      </w:r>
      <w:hyperlink r:id="rId8"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xml:space="preserve"> 5 </w:t>
      </w:r>
      <w:r w:rsidRPr="009F793E">
        <w:rPr>
          <w:rFonts w:ascii="Times New Roman" w:hAnsi="Times New Roman" w:cs="Times New Roman"/>
          <w:i/>
          <w:sz w:val="24"/>
          <w:szCs w:val="24"/>
        </w:rPr>
        <w:t xml:space="preserve">“Mėginio tūris ne daugiau 20µl” </w:t>
      </w:r>
      <w:r w:rsidRPr="009F793E">
        <w:rPr>
          <w:rFonts w:ascii="Times New Roman" w:hAnsi="Times New Roman" w:cs="Times New Roman"/>
          <w:sz w:val="24"/>
          <w:szCs w:val="24"/>
        </w:rPr>
        <w:t xml:space="preserve">sekančiai: </w:t>
      </w:r>
      <w:r w:rsidRPr="009F793E">
        <w:rPr>
          <w:rFonts w:ascii="Times New Roman" w:hAnsi="Times New Roman" w:cs="Times New Roman"/>
          <w:sz w:val="24"/>
          <w:szCs w:val="24"/>
          <w:u w:val="single"/>
        </w:rPr>
        <w:t>“Mėginio tūris ne daugiau nei 22 µl”</w:t>
      </w:r>
    </w:p>
    <w:p w14:paraId="2F42C2DA"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Atsakymas:</w:t>
      </w:r>
      <w:r w:rsidRPr="009F793E">
        <w:rPr>
          <w:rFonts w:ascii="Times New Roman" w:hAnsi="Times New Roman" w:cs="Times New Roman"/>
          <w:sz w:val="24"/>
          <w:szCs w:val="24"/>
        </w:rPr>
        <w:t xml:space="preserve"> p.Nr.5  Tūris  nekeičiamas  dėl , jei tyrimas atliekamas iš kapiliarinio kraujo , jo turi pakakti bendro kraujo tyrimui, CRB atlikimui,  kai kuriais atvejais kraujo grupės nustatymui bei  reikalingas likutinis mėginio tūris galimiems pakartojimams. Pažymėtina, kad dauguma gamintojų siūlo mažesni nei 20 </w:t>
      </w:r>
      <w:proofErr w:type="spellStart"/>
      <w:r w:rsidRPr="009F793E">
        <w:rPr>
          <w:rFonts w:ascii="Times New Roman" w:hAnsi="Times New Roman" w:cs="Times New Roman"/>
          <w:sz w:val="24"/>
          <w:szCs w:val="24"/>
        </w:rPr>
        <w:t>μ</w:t>
      </w:r>
      <w:r w:rsidRPr="009F793E">
        <w:rPr>
          <w:rFonts w:ascii="Times New Roman" w:hAnsi="Times New Roman" w:cs="Times New Roman"/>
          <w:i/>
          <w:iCs/>
          <w:sz w:val="24"/>
          <w:szCs w:val="24"/>
        </w:rPr>
        <w:t>l</w:t>
      </w:r>
      <w:proofErr w:type="spellEnd"/>
      <w:r w:rsidRPr="009F793E">
        <w:rPr>
          <w:rFonts w:ascii="Times New Roman" w:hAnsi="Times New Roman" w:cs="Times New Roman"/>
          <w:i/>
          <w:iCs/>
          <w:sz w:val="24"/>
          <w:szCs w:val="24"/>
        </w:rPr>
        <w:t xml:space="preserve"> </w:t>
      </w:r>
      <w:r w:rsidRPr="009F793E">
        <w:rPr>
          <w:rFonts w:ascii="Times New Roman" w:hAnsi="Times New Roman" w:cs="Times New Roman"/>
          <w:sz w:val="24"/>
          <w:szCs w:val="24"/>
        </w:rPr>
        <w:t xml:space="preserve">   tūrio CRB tyrimo atlikimui.</w:t>
      </w:r>
    </w:p>
    <w:p w14:paraId="2F3A00AF"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Klausimas:</w:t>
      </w:r>
      <w:r w:rsidRPr="009F793E">
        <w:rPr>
          <w:rFonts w:ascii="Times New Roman" w:hAnsi="Times New Roman" w:cs="Times New Roman"/>
          <w:sz w:val="24"/>
          <w:szCs w:val="24"/>
        </w:rPr>
        <w:t xml:space="preserve"> Siūlome atkreipti dėmesį į </w:t>
      </w:r>
      <w:hyperlink r:id="rId9"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xml:space="preserve">.6 “Matavimo </w:t>
      </w:r>
      <w:proofErr w:type="spellStart"/>
      <w:r w:rsidRPr="009F793E">
        <w:rPr>
          <w:rFonts w:ascii="Times New Roman" w:hAnsi="Times New Roman" w:cs="Times New Roman"/>
          <w:sz w:val="24"/>
          <w:szCs w:val="24"/>
        </w:rPr>
        <w:t>linijiškumas</w:t>
      </w:r>
      <w:proofErr w:type="spellEnd"/>
      <w:r w:rsidRPr="009F793E">
        <w:rPr>
          <w:rFonts w:ascii="Times New Roman" w:hAnsi="Times New Roman" w:cs="Times New Roman"/>
          <w:sz w:val="24"/>
          <w:szCs w:val="24"/>
        </w:rPr>
        <w:t xml:space="preserve"> CRB (bendras kraujas) 2-220 mg/l, CRB (serumas, plazma) 2-200 mg/l. “ Prašome </w:t>
      </w:r>
      <w:hyperlink r:id="rId10" w:history="1">
        <w:r w:rsidRPr="009F793E">
          <w:rPr>
            <w:rFonts w:ascii="Times New Roman" w:hAnsi="Times New Roman" w:cs="Times New Roman"/>
            <w:color w:val="0563C1" w:themeColor="hyperlink"/>
            <w:sz w:val="24"/>
            <w:szCs w:val="24"/>
            <w:u w:val="single"/>
          </w:rPr>
          <w:t>p.nr</w:t>
        </w:r>
      </w:hyperlink>
      <w:r w:rsidRPr="009F793E">
        <w:rPr>
          <w:rFonts w:ascii="Times New Roman" w:hAnsi="Times New Roman" w:cs="Times New Roman"/>
          <w:sz w:val="24"/>
          <w:szCs w:val="24"/>
        </w:rPr>
        <w:t>. 6 keisti sekančiai:</w:t>
      </w:r>
    </w:p>
    <w:p w14:paraId="5F390B18"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sz w:val="24"/>
          <w:szCs w:val="24"/>
          <w:u w:val="single"/>
        </w:rPr>
        <w:t xml:space="preserve">“Matavimo </w:t>
      </w:r>
      <w:proofErr w:type="spellStart"/>
      <w:r w:rsidRPr="009F793E">
        <w:rPr>
          <w:rFonts w:ascii="Times New Roman" w:hAnsi="Times New Roman" w:cs="Times New Roman"/>
          <w:sz w:val="24"/>
          <w:szCs w:val="24"/>
          <w:u w:val="single"/>
        </w:rPr>
        <w:t>linijiškumas</w:t>
      </w:r>
      <w:proofErr w:type="spellEnd"/>
      <w:r w:rsidRPr="009F793E">
        <w:rPr>
          <w:rFonts w:ascii="Times New Roman" w:hAnsi="Times New Roman" w:cs="Times New Roman"/>
          <w:sz w:val="24"/>
          <w:szCs w:val="24"/>
          <w:u w:val="single"/>
        </w:rPr>
        <w:t xml:space="preserve"> CRB (bendras kraujas) 2-220 mg/l”</w:t>
      </w:r>
    </w:p>
    <w:p w14:paraId="2A6B8989"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b/>
          <w:bCs/>
          <w:sz w:val="24"/>
          <w:szCs w:val="24"/>
        </w:rPr>
        <w:t xml:space="preserve">Atsakymas: </w:t>
      </w:r>
      <w:r w:rsidRPr="009F793E">
        <w:rPr>
          <w:rFonts w:ascii="Times New Roman" w:hAnsi="Times New Roman" w:cs="Times New Roman"/>
          <w:sz w:val="24"/>
          <w:szCs w:val="24"/>
        </w:rPr>
        <w:t xml:space="preserve"> p.Nr.6 Siūlomas sprendimas neužtikrina įstaigos poreikio, nes analizatorius privalo turėti galimybę atlikti CRB tyrimus iš trijų mėginių tipo: bendras kraujas, serumas, plazma.</w:t>
      </w:r>
    </w:p>
    <w:p w14:paraId="7A88233C" w14:textId="77777777" w:rsidR="009F793E" w:rsidRPr="009F793E" w:rsidRDefault="009F793E" w:rsidP="009F793E">
      <w:pPr>
        <w:spacing w:line="278" w:lineRule="auto"/>
        <w:jc w:val="both"/>
        <w:rPr>
          <w:rFonts w:ascii="Times New Roman" w:hAnsi="Times New Roman" w:cs="Times New Roman"/>
          <w:sz w:val="24"/>
          <w:szCs w:val="24"/>
        </w:rPr>
      </w:pPr>
      <w:r w:rsidRPr="009F793E">
        <w:rPr>
          <w:rFonts w:ascii="Times New Roman" w:hAnsi="Times New Roman" w:cs="Times New Roman"/>
          <w:sz w:val="24"/>
          <w:szCs w:val="24"/>
        </w:rPr>
        <w:t xml:space="preserve">         Analizatorius (vienoje platformoje) gebantis atlikti tiek bendrą kraują tiek CRB yra priimtinas, tačiau turi atitikti visus keliamus reikalavimus. </w:t>
      </w:r>
    </w:p>
    <w:p w14:paraId="53BCA62A" w14:textId="77777777" w:rsidR="009F793E" w:rsidRPr="009F793E" w:rsidRDefault="009F793E" w:rsidP="009F793E">
      <w:pPr>
        <w:spacing w:line="278" w:lineRule="auto"/>
        <w:ind w:firstLine="709"/>
        <w:jc w:val="both"/>
        <w:rPr>
          <w:sz w:val="24"/>
          <w:szCs w:val="24"/>
        </w:rPr>
      </w:pPr>
      <w:r w:rsidRPr="009F793E">
        <w:rPr>
          <w:rFonts w:ascii="Times New Roman" w:hAnsi="Times New Roman" w:cs="Times New Roman"/>
          <w:sz w:val="24"/>
          <w:szCs w:val="24"/>
        </w:rPr>
        <w:t xml:space="preserve">Perkančioji organizacija nutarė </w:t>
      </w:r>
      <w:r w:rsidRPr="009F793E">
        <w:rPr>
          <w:rFonts w:ascii="Times New Roman" w:hAnsi="Times New Roman" w:cs="Times New Roman"/>
          <w:b/>
          <w:sz w:val="24"/>
          <w:szCs w:val="24"/>
        </w:rPr>
        <w:t>netenkinti</w:t>
      </w:r>
      <w:r w:rsidRPr="009F793E">
        <w:rPr>
          <w:rFonts w:ascii="Times New Roman" w:hAnsi="Times New Roman" w:cs="Times New Roman"/>
          <w:sz w:val="24"/>
          <w:szCs w:val="24"/>
        </w:rPr>
        <w:t xml:space="preserve"> Tiekėjo reikalavimų. Tyrimai yra svarbūs stebėti paciento gydymo eigą. Neatlikdama šių tyrimų Perkančioji organizacija prarastų itin svarbius duomenis ir galėtų susidaryti situacija, kad pacientui būtų paskirtas netinkamas gydymas. Perkančioji organizacija siekia minimizuoti netinkamo gydymo riziką, todėl kelia</w:t>
      </w:r>
      <w:r w:rsidRPr="009F793E">
        <w:rPr>
          <w:sz w:val="24"/>
          <w:szCs w:val="24"/>
        </w:rPr>
        <w:t xml:space="preserve"> atitinkamus reikalavimus.</w:t>
      </w:r>
    </w:p>
    <w:p w14:paraId="395FE2C5" w14:textId="77777777" w:rsidR="000B4853" w:rsidRPr="009F793E" w:rsidRDefault="000B4853" w:rsidP="009F793E">
      <w:pPr>
        <w:contextualSpacing/>
        <w:rPr>
          <w:rFonts w:ascii="Times New Roman" w:eastAsia="Calibri" w:hAnsi="Times New Roman" w:cs="Times New Roman"/>
          <w:b/>
          <w:bCs/>
          <w:sz w:val="24"/>
          <w:szCs w:val="24"/>
        </w:rPr>
      </w:pPr>
    </w:p>
    <w:p w14:paraId="43084738" w14:textId="77777777" w:rsidR="00F207E1" w:rsidRPr="009F793E" w:rsidRDefault="00F207E1" w:rsidP="00F207E1">
      <w:pPr>
        <w:ind w:left="720"/>
        <w:contextualSpacing/>
        <w:rPr>
          <w:rFonts w:ascii="Times New Roman" w:eastAsia="Calibri" w:hAnsi="Times New Roman" w:cs="Times New Roman"/>
          <w:b/>
          <w:bCs/>
          <w:sz w:val="24"/>
          <w:szCs w:val="24"/>
        </w:rPr>
      </w:pPr>
    </w:p>
    <w:p w14:paraId="04925BA9" w14:textId="77777777" w:rsidR="00F207E1" w:rsidRPr="009F793E" w:rsidRDefault="00F207E1" w:rsidP="00F207E1">
      <w:pPr>
        <w:rPr>
          <w:rFonts w:ascii="Times New Roman" w:eastAsia="Calibri" w:hAnsi="Times New Roman" w:cs="Times New Roman"/>
          <w:b/>
          <w:sz w:val="24"/>
          <w:szCs w:val="24"/>
        </w:rPr>
      </w:pPr>
      <w:bookmarkStart w:id="0" w:name="_Hlk140656707"/>
      <w:r w:rsidRPr="009F793E">
        <w:rPr>
          <w:rFonts w:ascii="Times New Roman" w:eastAsia="Calibri" w:hAnsi="Times New Roman" w:cs="Times New Roman"/>
          <w:sz w:val="24"/>
          <w:szCs w:val="24"/>
        </w:rPr>
        <w:t xml:space="preserve">Pastaba. Klausimai nekoreguojami. </w:t>
      </w:r>
    </w:p>
    <w:bookmarkEnd w:id="0"/>
    <w:p w14:paraId="7DD3095B" w14:textId="77777777" w:rsidR="00F207E1" w:rsidRPr="009F793E" w:rsidRDefault="00F207E1" w:rsidP="00F207E1">
      <w:pPr>
        <w:rPr>
          <w:rFonts w:ascii="Times New Roman" w:eastAsia="Calibri" w:hAnsi="Times New Roman" w:cs="Times New Roman"/>
          <w:sz w:val="24"/>
          <w:szCs w:val="24"/>
        </w:rPr>
      </w:pPr>
    </w:p>
    <w:p w14:paraId="241AD348" w14:textId="77777777" w:rsidR="00F207E1" w:rsidRPr="009F793E"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3428484D" w14:textId="77777777" w:rsidR="00F207E1" w:rsidRPr="009F793E"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15AAF939" w14:textId="77777777" w:rsidR="00D15A3D" w:rsidRDefault="00D15A3D"/>
    <w:sectPr w:rsidR="00D15A3D" w:rsidSect="00F207E1">
      <w:pgSz w:w="11906" w:h="16838"/>
      <w:pgMar w:top="1135" w:right="567" w:bottom="1134" w:left="1701" w:header="720" w:footer="72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CB8"/>
    <w:multiLevelType w:val="hybridMultilevel"/>
    <w:tmpl w:val="43601814"/>
    <w:lvl w:ilvl="0" w:tplc="02745A5E">
      <w:start w:val="1"/>
      <w:numFmt w:val="decimal"/>
      <w:lvlText w:val="%1."/>
      <w:lvlJc w:val="left"/>
      <w:pPr>
        <w:ind w:left="1080" w:hanging="360"/>
      </w:pPr>
      <w:rPr>
        <w:rFonts w:eastAsiaTheme="minorHAnsi" w:hint="default"/>
        <w:b w:val="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8937A9"/>
    <w:multiLevelType w:val="hybridMultilevel"/>
    <w:tmpl w:val="9154C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A2F64"/>
    <w:multiLevelType w:val="hybridMultilevel"/>
    <w:tmpl w:val="8B58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10E0E"/>
    <w:multiLevelType w:val="hybridMultilevel"/>
    <w:tmpl w:val="4478FB70"/>
    <w:lvl w:ilvl="0" w:tplc="F48C2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0A0484"/>
    <w:multiLevelType w:val="hybridMultilevel"/>
    <w:tmpl w:val="59743672"/>
    <w:lvl w:ilvl="0" w:tplc="59B60C1E">
      <w:start w:val="1"/>
      <w:numFmt w:val="decimal"/>
      <w:lvlText w:val="%1."/>
      <w:lvlJc w:val="left"/>
      <w:pPr>
        <w:ind w:left="1080" w:hanging="360"/>
      </w:pPr>
      <w:rPr>
        <w:rFonts w:ascii="Aptos" w:hAnsi="Aptos" w:cstheme="minorBid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560CDC"/>
    <w:multiLevelType w:val="hybridMultilevel"/>
    <w:tmpl w:val="4BB60818"/>
    <w:lvl w:ilvl="0" w:tplc="A100F90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2D3DD1"/>
    <w:multiLevelType w:val="hybridMultilevel"/>
    <w:tmpl w:val="A202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E57A90"/>
    <w:multiLevelType w:val="hybridMultilevel"/>
    <w:tmpl w:val="74964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9E61B9"/>
    <w:multiLevelType w:val="hybridMultilevel"/>
    <w:tmpl w:val="046C0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033FCF"/>
    <w:multiLevelType w:val="hybridMultilevel"/>
    <w:tmpl w:val="AAFCE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5330DC"/>
    <w:multiLevelType w:val="hybridMultilevel"/>
    <w:tmpl w:val="4A0C175C"/>
    <w:lvl w:ilvl="0" w:tplc="8D48A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EFF776D"/>
    <w:multiLevelType w:val="hybridMultilevel"/>
    <w:tmpl w:val="344A6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701B17"/>
    <w:multiLevelType w:val="hybridMultilevel"/>
    <w:tmpl w:val="97A66398"/>
    <w:lvl w:ilvl="0" w:tplc="40C66F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14504D8"/>
    <w:multiLevelType w:val="hybridMultilevel"/>
    <w:tmpl w:val="71564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185C85"/>
    <w:multiLevelType w:val="hybridMultilevel"/>
    <w:tmpl w:val="66D44710"/>
    <w:lvl w:ilvl="0" w:tplc="D108B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400A6B"/>
    <w:multiLevelType w:val="hybridMultilevel"/>
    <w:tmpl w:val="E21870E6"/>
    <w:lvl w:ilvl="0" w:tplc="98C06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FB8507C"/>
    <w:multiLevelType w:val="hybridMultilevel"/>
    <w:tmpl w:val="F670E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13456C"/>
    <w:multiLevelType w:val="hybridMultilevel"/>
    <w:tmpl w:val="3250A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FB6E53"/>
    <w:multiLevelType w:val="hybridMultilevel"/>
    <w:tmpl w:val="EDD47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3C5683"/>
    <w:multiLevelType w:val="hybridMultilevel"/>
    <w:tmpl w:val="F634F476"/>
    <w:lvl w:ilvl="0" w:tplc="5C2A3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3448A9"/>
    <w:multiLevelType w:val="hybridMultilevel"/>
    <w:tmpl w:val="E5DE1C20"/>
    <w:lvl w:ilvl="0" w:tplc="DEACF184">
      <w:start w:val="1"/>
      <w:numFmt w:val="decimal"/>
      <w:lvlText w:val="%1."/>
      <w:lvlJc w:val="left"/>
      <w:pPr>
        <w:ind w:left="855" w:hanging="360"/>
      </w:pPr>
      <w:rPr>
        <w:rFonts w:ascii="Aptos" w:hAnsi="Aptos" w:hint="default"/>
        <w:sz w:val="24"/>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num w:numId="1" w16cid:durableId="856502256">
    <w:abstractNumId w:val="2"/>
  </w:num>
  <w:num w:numId="2" w16cid:durableId="51931430">
    <w:abstractNumId w:val="4"/>
  </w:num>
  <w:num w:numId="3" w16cid:durableId="1501845927">
    <w:abstractNumId w:val="12"/>
  </w:num>
  <w:num w:numId="4" w16cid:durableId="150873664">
    <w:abstractNumId w:val="18"/>
  </w:num>
  <w:num w:numId="5" w16cid:durableId="808864536">
    <w:abstractNumId w:val="20"/>
  </w:num>
  <w:num w:numId="6" w16cid:durableId="1315648888">
    <w:abstractNumId w:val="7"/>
  </w:num>
  <w:num w:numId="7" w16cid:durableId="1667244296">
    <w:abstractNumId w:val="17"/>
  </w:num>
  <w:num w:numId="8" w16cid:durableId="1971665675">
    <w:abstractNumId w:val="1"/>
  </w:num>
  <w:num w:numId="9" w16cid:durableId="351273503">
    <w:abstractNumId w:val="16"/>
  </w:num>
  <w:num w:numId="10" w16cid:durableId="738788393">
    <w:abstractNumId w:val="10"/>
  </w:num>
  <w:num w:numId="11" w16cid:durableId="313142164">
    <w:abstractNumId w:val="3"/>
  </w:num>
  <w:num w:numId="12" w16cid:durableId="415788809">
    <w:abstractNumId w:val="0"/>
  </w:num>
  <w:num w:numId="13" w16cid:durableId="2019651296">
    <w:abstractNumId w:val="9"/>
  </w:num>
  <w:num w:numId="14" w16cid:durableId="105008555">
    <w:abstractNumId w:val="14"/>
  </w:num>
  <w:num w:numId="15" w16cid:durableId="1484855156">
    <w:abstractNumId w:val="8"/>
  </w:num>
  <w:num w:numId="16" w16cid:durableId="1375890727">
    <w:abstractNumId w:val="5"/>
  </w:num>
  <w:num w:numId="17" w16cid:durableId="891187012">
    <w:abstractNumId w:val="15"/>
  </w:num>
  <w:num w:numId="18" w16cid:durableId="1830946942">
    <w:abstractNumId w:val="21"/>
  </w:num>
  <w:num w:numId="19" w16cid:durableId="1934392632">
    <w:abstractNumId w:val="11"/>
  </w:num>
  <w:num w:numId="20" w16cid:durableId="1930459613">
    <w:abstractNumId w:val="19"/>
  </w:num>
  <w:num w:numId="21" w16cid:durableId="1488592868">
    <w:abstractNumId w:val="13"/>
  </w:num>
  <w:num w:numId="22" w16cid:durableId="1945990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6B"/>
    <w:rsid w:val="0006296B"/>
    <w:rsid w:val="00074464"/>
    <w:rsid w:val="000875A4"/>
    <w:rsid w:val="000A0BA0"/>
    <w:rsid w:val="000A7DDE"/>
    <w:rsid w:val="000B4853"/>
    <w:rsid w:val="000D157E"/>
    <w:rsid w:val="0017749A"/>
    <w:rsid w:val="001C1E7F"/>
    <w:rsid w:val="00222BDD"/>
    <w:rsid w:val="00231B1B"/>
    <w:rsid w:val="00257B18"/>
    <w:rsid w:val="002B409F"/>
    <w:rsid w:val="002B5CC8"/>
    <w:rsid w:val="003126A4"/>
    <w:rsid w:val="003A3720"/>
    <w:rsid w:val="00420CC6"/>
    <w:rsid w:val="00454066"/>
    <w:rsid w:val="004544CD"/>
    <w:rsid w:val="004A5A2A"/>
    <w:rsid w:val="004C3428"/>
    <w:rsid w:val="004C37AB"/>
    <w:rsid w:val="004E07B6"/>
    <w:rsid w:val="005659D4"/>
    <w:rsid w:val="00577BE5"/>
    <w:rsid w:val="00590E3D"/>
    <w:rsid w:val="00594544"/>
    <w:rsid w:val="005A1F99"/>
    <w:rsid w:val="005C0944"/>
    <w:rsid w:val="005E44D6"/>
    <w:rsid w:val="005F1833"/>
    <w:rsid w:val="0064364D"/>
    <w:rsid w:val="00687B80"/>
    <w:rsid w:val="007171F3"/>
    <w:rsid w:val="00727A35"/>
    <w:rsid w:val="00766CE6"/>
    <w:rsid w:val="008B46BC"/>
    <w:rsid w:val="009079F3"/>
    <w:rsid w:val="00925071"/>
    <w:rsid w:val="009B1570"/>
    <w:rsid w:val="009B2049"/>
    <w:rsid w:val="009F793E"/>
    <w:rsid w:val="00A17B91"/>
    <w:rsid w:val="00A80A77"/>
    <w:rsid w:val="00AB5514"/>
    <w:rsid w:val="00AC2D0C"/>
    <w:rsid w:val="00AF139F"/>
    <w:rsid w:val="00B10EE7"/>
    <w:rsid w:val="00B21C92"/>
    <w:rsid w:val="00B353E0"/>
    <w:rsid w:val="00B438F8"/>
    <w:rsid w:val="00B51C7C"/>
    <w:rsid w:val="00BA1614"/>
    <w:rsid w:val="00BA381C"/>
    <w:rsid w:val="00C107DE"/>
    <w:rsid w:val="00C477F1"/>
    <w:rsid w:val="00D15A3D"/>
    <w:rsid w:val="00D20E13"/>
    <w:rsid w:val="00D332D8"/>
    <w:rsid w:val="00D55C75"/>
    <w:rsid w:val="00D70789"/>
    <w:rsid w:val="00D92B92"/>
    <w:rsid w:val="00D93665"/>
    <w:rsid w:val="00ED2988"/>
    <w:rsid w:val="00F207E1"/>
    <w:rsid w:val="00F37532"/>
    <w:rsid w:val="00F52CE1"/>
    <w:rsid w:val="00F66A81"/>
    <w:rsid w:val="00FA1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4EC"/>
  <w15:chartTrackingRefBased/>
  <w15:docId w15:val="{9BDA289F-C5A8-45C2-BCB2-56060AB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7E1"/>
  </w:style>
  <w:style w:type="paragraph" w:styleId="Antrat1">
    <w:name w:val="heading 1"/>
    <w:basedOn w:val="prastasis"/>
    <w:next w:val="prastasis"/>
    <w:link w:val="Antrat1Diagrama"/>
    <w:uiPriority w:val="9"/>
    <w:qFormat/>
    <w:rsid w:val="0006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29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29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29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29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29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29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29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29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29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29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29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29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2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2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2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29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2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2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2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2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296B"/>
    <w:rPr>
      <w:i/>
      <w:iCs/>
      <w:color w:val="404040" w:themeColor="text1" w:themeTint="BF"/>
    </w:rPr>
  </w:style>
  <w:style w:type="paragraph" w:styleId="Sraopastraipa">
    <w:name w:val="List Paragraph"/>
    <w:basedOn w:val="prastasis"/>
    <w:uiPriority w:val="34"/>
    <w:qFormat/>
    <w:rsid w:val="0006296B"/>
    <w:pPr>
      <w:ind w:left="720"/>
      <w:contextualSpacing/>
    </w:pPr>
  </w:style>
  <w:style w:type="character" w:styleId="Rykuspabraukimas">
    <w:name w:val="Intense Emphasis"/>
    <w:basedOn w:val="Numatytasispastraiposriftas"/>
    <w:uiPriority w:val="21"/>
    <w:qFormat/>
    <w:rsid w:val="0006296B"/>
    <w:rPr>
      <w:i/>
      <w:iCs/>
      <w:color w:val="2F5496" w:themeColor="accent1" w:themeShade="BF"/>
    </w:rPr>
  </w:style>
  <w:style w:type="paragraph" w:styleId="Iskirtacitata">
    <w:name w:val="Intense Quote"/>
    <w:basedOn w:val="prastasis"/>
    <w:next w:val="prastasis"/>
    <w:link w:val="IskirtacitataDiagrama"/>
    <w:uiPriority w:val="30"/>
    <w:qFormat/>
    <w:rsid w:val="0006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296B"/>
    <w:rPr>
      <w:i/>
      <w:iCs/>
      <w:color w:val="2F5496" w:themeColor="accent1" w:themeShade="BF"/>
    </w:rPr>
  </w:style>
  <w:style w:type="character" w:styleId="Rykinuoroda">
    <w:name w:val="Intense Reference"/>
    <w:basedOn w:val="Numatytasispastraiposriftas"/>
    <w:uiPriority w:val="32"/>
    <w:qFormat/>
    <w:rsid w:val="0006296B"/>
    <w:rPr>
      <w:b/>
      <w:bCs/>
      <w:smallCaps/>
      <w:color w:val="2F5496" w:themeColor="accent1" w:themeShade="BF"/>
      <w:spacing w:val="5"/>
    </w:rPr>
  </w:style>
  <w:style w:type="table" w:styleId="Lentelstinklelis">
    <w:name w:val="Table Grid"/>
    <w:basedOn w:val="prastojilentel"/>
    <w:uiPriority w:val="39"/>
    <w:rsid w:val="0071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6A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015">
      <w:bodyDiv w:val="1"/>
      <w:marLeft w:val="0"/>
      <w:marRight w:val="0"/>
      <w:marTop w:val="0"/>
      <w:marBottom w:val="0"/>
      <w:divBdr>
        <w:top w:val="none" w:sz="0" w:space="0" w:color="auto"/>
        <w:left w:val="none" w:sz="0" w:space="0" w:color="auto"/>
        <w:bottom w:val="none" w:sz="0" w:space="0" w:color="auto"/>
        <w:right w:val="none" w:sz="0" w:space="0" w:color="auto"/>
      </w:divBdr>
    </w:div>
    <w:div w:id="1655136309">
      <w:bodyDiv w:val="1"/>
      <w:marLeft w:val="0"/>
      <w:marRight w:val="0"/>
      <w:marTop w:val="0"/>
      <w:marBottom w:val="0"/>
      <w:divBdr>
        <w:top w:val="none" w:sz="0" w:space="0" w:color="auto"/>
        <w:left w:val="none" w:sz="0" w:space="0" w:color="auto"/>
        <w:bottom w:val="none" w:sz="0" w:space="0" w:color="auto"/>
        <w:right w:val="none" w:sz="0" w:space="0" w:color="auto"/>
      </w:divBdr>
    </w:div>
    <w:div w:id="16797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r/" TargetMode="External"/><Relationship Id="rId3" Type="http://schemas.openxmlformats.org/officeDocument/2006/relationships/settings" Target="settings.xml"/><Relationship Id="rId7" Type="http://schemas.openxmlformats.org/officeDocument/2006/relationships/hyperlink" Target="http://p.n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nr/" TargetMode="External"/><Relationship Id="rId11" Type="http://schemas.openxmlformats.org/officeDocument/2006/relationships/fontTable" Target="fontTable.xml"/><Relationship Id="rId5" Type="http://schemas.openxmlformats.org/officeDocument/2006/relationships/hyperlink" Target="http://p.nr/" TargetMode="External"/><Relationship Id="rId10" Type="http://schemas.openxmlformats.org/officeDocument/2006/relationships/hyperlink" Target="http://p.nr/" TargetMode="External"/><Relationship Id="rId4" Type="http://schemas.openxmlformats.org/officeDocument/2006/relationships/webSettings" Target="webSettings.xml"/><Relationship Id="rId9" Type="http://schemas.openxmlformats.org/officeDocument/2006/relationships/hyperlink" Target="http://p.n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3631</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9</cp:revision>
  <cp:lastPrinted>2025-03-20T13:27:00Z</cp:lastPrinted>
  <dcterms:created xsi:type="dcterms:W3CDTF">2025-10-16T07:14:00Z</dcterms:created>
  <dcterms:modified xsi:type="dcterms:W3CDTF">2025-10-16T07:21:00Z</dcterms:modified>
</cp:coreProperties>
</file>