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00EBA1C4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560FA9">
        <w:t xml:space="preserve">                             </w:t>
      </w:r>
      <w:r w:rsidR="00560FA9">
        <w:rPr>
          <w:b/>
        </w:rPr>
        <w:t>IP TELEFONAI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00CB7E9B" w:rsidR="007E5300" w:rsidRPr="00603F7A" w:rsidRDefault="00560FA9" w:rsidP="00603F7A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b/>
              </w:rPr>
              <w:t>IP TELEFONAI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3D5885E0" w:rsidR="00AF5694" w:rsidRPr="00A44D73" w:rsidRDefault="00624405" w:rsidP="00745194">
            <w:pPr>
              <w:spacing w:before="60" w:after="60"/>
              <w:jc w:val="center"/>
              <w:rPr>
                <w:lang w:val="en-US"/>
              </w:rPr>
            </w:pPr>
            <w:r>
              <w:t>2</w:t>
            </w:r>
            <w:r w:rsidR="00560FA9">
              <w:t>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lastRenderedPageBreak/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57BD9684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</w:p>
    <w:p w14:paraId="1DBC6CE4" w14:textId="31CC3E21" w:rsidR="00505D39" w:rsidRPr="00B64A33" w:rsidRDefault="006F18E8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Pastaba. Dėl techninių klausimų prašome kreiptis </w:t>
      </w:r>
      <w:hyperlink r:id="rId10" w:history="1">
        <w:r w:rsidRPr="006F18E8">
          <w:rPr>
            <w:rFonts w:ascii="Helvetica" w:hAnsi="Helvetica" w:cs="Helvetica"/>
            <w:color w:val="2A6496"/>
            <w:sz w:val="20"/>
            <w:szCs w:val="20"/>
            <w:u w:val="single"/>
            <w:shd w:val="clear" w:color="auto" w:fill="EFEFEF"/>
          </w:rPr>
          <w:t>marius.asmontas@mil.lt</w:t>
        </w:r>
      </w:hyperlink>
      <w: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>+370 706 76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>825</w:t>
      </w:r>
      <w:r>
        <w:rPr>
          <w:rFonts w:ascii="Helvetica" w:hAnsi="Helvetica" w:cs="Helvetica"/>
          <w:color w:val="000000"/>
          <w:sz w:val="20"/>
          <w:szCs w:val="20"/>
          <w:shd w:val="clear" w:color="auto" w:fill="EFEFEF"/>
        </w:rPr>
        <w:t xml:space="preserve"> </w:t>
      </w: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7E90" w14:textId="77777777" w:rsidR="00F04CA2" w:rsidRDefault="00F04CA2" w:rsidP="00324E3D">
      <w:r>
        <w:separator/>
      </w:r>
    </w:p>
  </w:endnote>
  <w:endnote w:type="continuationSeparator" w:id="0">
    <w:p w14:paraId="5AAC433C" w14:textId="77777777" w:rsidR="00F04CA2" w:rsidRDefault="00F04CA2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5124" w14:textId="77777777" w:rsidR="00F04CA2" w:rsidRDefault="00F04CA2" w:rsidP="00324E3D">
      <w:r>
        <w:separator/>
      </w:r>
    </w:p>
  </w:footnote>
  <w:footnote w:type="continuationSeparator" w:id="0">
    <w:p w14:paraId="4CDC72A6" w14:textId="77777777" w:rsidR="00F04CA2" w:rsidRDefault="00F04CA2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6334">
    <w:abstractNumId w:val="7"/>
  </w:num>
  <w:num w:numId="2" w16cid:durableId="1273323989">
    <w:abstractNumId w:val="0"/>
  </w:num>
  <w:num w:numId="3" w16cid:durableId="861284674">
    <w:abstractNumId w:val="3"/>
  </w:num>
  <w:num w:numId="4" w16cid:durableId="1289624228">
    <w:abstractNumId w:val="2"/>
  </w:num>
  <w:num w:numId="5" w16cid:durableId="414908773">
    <w:abstractNumId w:val="4"/>
  </w:num>
  <w:num w:numId="6" w16cid:durableId="197933221">
    <w:abstractNumId w:val="10"/>
  </w:num>
  <w:num w:numId="7" w16cid:durableId="650252485">
    <w:abstractNumId w:val="9"/>
  </w:num>
  <w:num w:numId="8" w16cid:durableId="600260665">
    <w:abstractNumId w:val="5"/>
  </w:num>
  <w:num w:numId="9" w16cid:durableId="841354158">
    <w:abstractNumId w:val="1"/>
  </w:num>
  <w:num w:numId="10" w16cid:durableId="344946933">
    <w:abstractNumId w:val="6"/>
  </w:num>
  <w:num w:numId="11" w16cid:durableId="65977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57F1E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4405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6F18E8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04CA2"/>
    <w:rsid w:val="00F10307"/>
    <w:rsid w:val="00F139EC"/>
    <w:rsid w:val="00F14EA2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us.asmonta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D23E-B811-4CA2-B7BD-FDC913A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81</cp:revision>
  <cp:lastPrinted>2017-09-25T07:05:00Z</cp:lastPrinted>
  <dcterms:created xsi:type="dcterms:W3CDTF">2023-01-25T06:40:00Z</dcterms:created>
  <dcterms:modified xsi:type="dcterms:W3CDTF">2025-10-16T12:03:00Z</dcterms:modified>
</cp:coreProperties>
</file>