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E1F6" w14:textId="6B2C3031" w:rsidR="00180BE3" w:rsidRPr="00180BE3" w:rsidRDefault="00044EC9" w:rsidP="00180BE3">
      <w:pPr>
        <w:jc w:val="right"/>
        <w:rPr>
          <w:rFonts w:cstheme="minorHAnsi"/>
        </w:rPr>
      </w:pPr>
      <w:r w:rsidRPr="00180BE3">
        <w:rPr>
          <w:rFonts w:cstheme="minorHAnsi"/>
        </w:rPr>
        <w:tab/>
      </w:r>
      <w:r w:rsidR="00881F62" w:rsidRPr="00180BE3">
        <w:rPr>
          <w:rFonts w:cstheme="minorHAnsi"/>
        </w:rPr>
        <w:tab/>
      </w:r>
      <w:r w:rsidR="00881F62" w:rsidRPr="00180BE3">
        <w:rPr>
          <w:rFonts w:cstheme="minorHAnsi"/>
        </w:rPr>
        <w:tab/>
      </w:r>
      <w:r w:rsidR="00881F62" w:rsidRPr="00180BE3">
        <w:rPr>
          <w:rFonts w:cstheme="minorHAnsi"/>
        </w:rPr>
        <w:tab/>
      </w:r>
      <w:r w:rsidR="00881F62" w:rsidRPr="00180BE3">
        <w:rPr>
          <w:rFonts w:cstheme="minorHAnsi"/>
        </w:rPr>
        <w:tab/>
      </w:r>
      <w:r w:rsidR="00881F62" w:rsidRPr="00180BE3">
        <w:rPr>
          <w:rFonts w:cstheme="minorHAnsi"/>
        </w:rPr>
        <w:tab/>
      </w:r>
      <w:r w:rsidR="00180BE3" w:rsidRPr="00180BE3">
        <w:rPr>
          <w:rFonts w:cstheme="minorHAnsi"/>
        </w:rPr>
        <w:t>2025-</w:t>
      </w:r>
      <w:r w:rsidR="003A0A0B">
        <w:rPr>
          <w:rFonts w:cstheme="minorHAnsi"/>
        </w:rPr>
        <w:t>10-16</w:t>
      </w:r>
    </w:p>
    <w:p w14:paraId="5A1B54EC" w14:textId="77777777" w:rsidR="00881F62" w:rsidRPr="00180BE3" w:rsidRDefault="00881F62">
      <w:pPr>
        <w:rPr>
          <w:rFonts w:cstheme="minorHAnsi"/>
        </w:rPr>
      </w:pPr>
    </w:p>
    <w:p w14:paraId="409C7649" w14:textId="623ED86D" w:rsidR="00881F62" w:rsidRPr="00180BE3" w:rsidRDefault="00881F62">
      <w:pPr>
        <w:rPr>
          <w:rFonts w:cstheme="minorHAnsi"/>
          <w:b/>
          <w:bCs/>
        </w:rPr>
      </w:pPr>
      <w:r w:rsidRPr="00180BE3">
        <w:rPr>
          <w:rFonts w:cstheme="minorHAnsi"/>
          <w:b/>
          <w:bCs/>
        </w:rPr>
        <w:t>DĖL ATSAKYM</w:t>
      </w:r>
      <w:r w:rsidR="00180BE3" w:rsidRPr="00180BE3">
        <w:rPr>
          <w:rFonts w:cstheme="minorHAnsi"/>
          <w:b/>
          <w:bCs/>
        </w:rPr>
        <w:t>Ų</w:t>
      </w:r>
      <w:r w:rsidRPr="00180BE3">
        <w:rPr>
          <w:rFonts w:cstheme="minorHAnsi"/>
          <w:b/>
          <w:bCs/>
        </w:rPr>
        <w:t xml:space="preserve"> Į KLAUSIM</w:t>
      </w:r>
      <w:r w:rsidR="00180BE3" w:rsidRPr="00180BE3">
        <w:rPr>
          <w:rFonts w:cstheme="minorHAnsi"/>
          <w:b/>
          <w:bCs/>
        </w:rPr>
        <w:t>US</w:t>
      </w:r>
    </w:p>
    <w:p w14:paraId="7007552D" w14:textId="593AB97A" w:rsidR="003F13E1" w:rsidRPr="00180BE3" w:rsidRDefault="003F13E1" w:rsidP="003F13E1">
      <w:pPr>
        <w:tabs>
          <w:tab w:val="left" w:pos="630"/>
        </w:tabs>
        <w:spacing w:after="0" w:line="240" w:lineRule="auto"/>
        <w:ind w:firstLine="567"/>
        <w:jc w:val="both"/>
        <w:rPr>
          <w:rFonts w:cstheme="minorHAnsi"/>
        </w:rPr>
      </w:pPr>
      <w:r w:rsidRPr="00180BE3">
        <w:rPr>
          <w:rFonts w:cstheme="minorHAnsi"/>
        </w:rPr>
        <w:t>Informuojame, kad viešojo pirkimo komisija (toliau – Komisija), išnagrinėjusi CVP IS priemonėmis pateikt</w:t>
      </w:r>
      <w:r w:rsidR="00180BE3" w:rsidRPr="00180BE3">
        <w:rPr>
          <w:rFonts w:cstheme="minorHAnsi"/>
        </w:rPr>
        <w:t>us</w:t>
      </w:r>
      <w:r w:rsidRPr="00180BE3">
        <w:rPr>
          <w:rFonts w:cstheme="minorHAnsi"/>
        </w:rPr>
        <w:t xml:space="preserve"> klausim</w:t>
      </w:r>
      <w:r w:rsidR="00180BE3" w:rsidRPr="00180BE3">
        <w:rPr>
          <w:rFonts w:cstheme="minorHAnsi"/>
        </w:rPr>
        <w:t>u</w:t>
      </w:r>
      <w:r w:rsidRPr="00180BE3">
        <w:rPr>
          <w:rFonts w:cstheme="minorHAnsi"/>
        </w:rPr>
        <w:t>s atsak</w:t>
      </w:r>
      <w:r w:rsidR="00180BE3" w:rsidRPr="00180BE3">
        <w:rPr>
          <w:rFonts w:cstheme="minorHAnsi"/>
        </w:rPr>
        <w:t>o</w:t>
      </w:r>
      <w:r w:rsidRPr="00180BE3">
        <w:rPr>
          <w:rFonts w:cstheme="minorHAnsi"/>
        </w:rPr>
        <w:t xml:space="preserve"> taip:</w:t>
      </w:r>
    </w:p>
    <w:tbl>
      <w:tblPr>
        <w:tblStyle w:val="Lentelstinklelis"/>
        <w:tblW w:w="0" w:type="auto"/>
        <w:tblLook w:val="04A0" w:firstRow="1" w:lastRow="0" w:firstColumn="1" w:lastColumn="0" w:noHBand="0" w:noVBand="1"/>
      </w:tblPr>
      <w:tblGrid>
        <w:gridCol w:w="4814"/>
        <w:gridCol w:w="4814"/>
      </w:tblGrid>
      <w:tr w:rsidR="00180BE3" w:rsidRPr="00180BE3" w14:paraId="4E2A2A0F" w14:textId="77777777" w:rsidTr="00105A5F">
        <w:trPr>
          <w:trHeight w:val="425"/>
        </w:trPr>
        <w:tc>
          <w:tcPr>
            <w:tcW w:w="4814" w:type="dxa"/>
            <w:vAlign w:val="center"/>
          </w:tcPr>
          <w:p w14:paraId="054ECC6D" w14:textId="77777777" w:rsidR="00180BE3" w:rsidRPr="00180BE3" w:rsidRDefault="00180BE3" w:rsidP="00105A5F">
            <w:pPr>
              <w:tabs>
                <w:tab w:val="left" w:pos="630"/>
              </w:tabs>
              <w:jc w:val="center"/>
              <w:rPr>
                <w:rFonts w:cstheme="minorHAnsi"/>
                <w:b/>
                <w:bCs/>
                <w:i/>
                <w:color w:val="538135" w:themeColor="accent6" w:themeShade="BF"/>
              </w:rPr>
            </w:pPr>
            <w:r w:rsidRPr="00180BE3">
              <w:rPr>
                <w:rFonts w:cstheme="minorHAnsi"/>
                <w:b/>
                <w:bCs/>
              </w:rPr>
              <w:t xml:space="preserve">Tiekėjo klausimas/prašymas </w:t>
            </w:r>
            <w:r w:rsidRPr="00180BE3">
              <w:rPr>
                <w:rFonts w:cstheme="minorHAnsi"/>
              </w:rPr>
              <w:t>(kalba netaisyta)</w:t>
            </w:r>
            <w:r w:rsidRPr="00180BE3">
              <w:rPr>
                <w:rFonts w:cstheme="minorHAnsi"/>
                <w:b/>
                <w:bCs/>
              </w:rPr>
              <w:t>:</w:t>
            </w:r>
          </w:p>
        </w:tc>
        <w:tc>
          <w:tcPr>
            <w:tcW w:w="4814" w:type="dxa"/>
            <w:vAlign w:val="center"/>
          </w:tcPr>
          <w:p w14:paraId="3B051CAF" w14:textId="77777777" w:rsidR="00180BE3" w:rsidRPr="00180BE3" w:rsidRDefault="00180BE3" w:rsidP="00105A5F">
            <w:pPr>
              <w:tabs>
                <w:tab w:val="left" w:pos="630"/>
              </w:tabs>
              <w:jc w:val="center"/>
              <w:rPr>
                <w:rFonts w:cstheme="minorHAnsi"/>
                <w:b/>
                <w:bCs/>
              </w:rPr>
            </w:pPr>
            <w:r w:rsidRPr="00180BE3">
              <w:rPr>
                <w:rFonts w:cstheme="minorHAnsi"/>
                <w:b/>
                <w:bCs/>
              </w:rPr>
              <w:t>Atsakymas:</w:t>
            </w:r>
          </w:p>
        </w:tc>
      </w:tr>
      <w:tr w:rsidR="00180BE3" w:rsidRPr="00180BE3" w14:paraId="05772D52" w14:textId="77777777" w:rsidTr="00105A5F">
        <w:tc>
          <w:tcPr>
            <w:tcW w:w="4814" w:type="dxa"/>
          </w:tcPr>
          <w:p w14:paraId="0CA83B58" w14:textId="77777777" w:rsidR="002A4BDB" w:rsidRPr="002A4BDB" w:rsidRDefault="002A4BDB" w:rsidP="002A4BDB">
            <w:pPr>
              <w:jc w:val="both"/>
              <w:rPr>
                <w:rFonts w:cstheme="minorHAnsi"/>
              </w:rPr>
            </w:pPr>
            <w:r w:rsidRPr="002A4BDB">
              <w:rPr>
                <w:rFonts w:cstheme="minorHAnsi"/>
              </w:rPr>
              <w:t>Dėl techninių reikalavimų ir originalios įrangos gamintojų patvirtinimų (</w:t>
            </w:r>
            <w:proofErr w:type="spellStart"/>
            <w:r w:rsidRPr="002A4BDB">
              <w:rPr>
                <w:rFonts w:cstheme="minorHAnsi"/>
              </w:rPr>
              <w:t>angl</w:t>
            </w:r>
            <w:proofErr w:type="spellEnd"/>
            <w:r w:rsidRPr="002A4BDB">
              <w:rPr>
                <w:rFonts w:cstheme="minorHAnsi"/>
              </w:rPr>
              <w:t xml:space="preserve"> OEM </w:t>
            </w:r>
            <w:proofErr w:type="spellStart"/>
            <w:r w:rsidRPr="002A4BDB">
              <w:rPr>
                <w:rFonts w:cstheme="minorHAnsi"/>
              </w:rPr>
              <w:t>approval</w:t>
            </w:r>
            <w:proofErr w:type="spellEnd"/>
            <w:r w:rsidRPr="002A4BDB">
              <w:rPr>
                <w:rFonts w:cstheme="minorHAnsi"/>
              </w:rPr>
              <w:t>).</w:t>
            </w:r>
          </w:p>
          <w:p w14:paraId="2CF95AFD" w14:textId="77777777" w:rsidR="002A4BDB" w:rsidRPr="002A4BDB" w:rsidRDefault="002A4BDB" w:rsidP="002A4BDB">
            <w:pPr>
              <w:jc w:val="both"/>
              <w:rPr>
                <w:rFonts w:cstheme="minorHAnsi"/>
              </w:rPr>
            </w:pPr>
            <w:r w:rsidRPr="002A4BDB">
              <w:rPr>
                <w:rFonts w:cstheme="minorHAnsi"/>
              </w:rPr>
              <w:t>Siūlome keisti sakinio turinį pakeičiant reikalavimus originalios įrangos gamintojų patvirtinimams sekančiai:</w:t>
            </w:r>
          </w:p>
          <w:p w14:paraId="75246257" w14:textId="77777777" w:rsidR="002A4BDB" w:rsidRPr="002A4BDB" w:rsidRDefault="002A4BDB" w:rsidP="002A4BDB">
            <w:pPr>
              <w:jc w:val="both"/>
              <w:rPr>
                <w:rFonts w:cstheme="minorHAnsi"/>
              </w:rPr>
            </w:pPr>
            <w:r w:rsidRPr="002A4BDB">
              <w:rPr>
                <w:rFonts w:cstheme="minorHAnsi"/>
              </w:rPr>
              <w:t>A – Pateikti galiojantį originalios įrangos gamintojo patvirtinimą arba galiojantį OĮG patvirtintų alyvų/tepalų sąrašą arba internetinė nuoroda OĮG gamintojo oficialiame puslapyje patalpintą sąrašą, kuriame yra informacija apie siūlomos Prekės patvirtinimą (angl. „</w:t>
            </w:r>
            <w:proofErr w:type="spellStart"/>
            <w:r w:rsidRPr="002A4BDB">
              <w:rPr>
                <w:rFonts w:cstheme="minorHAnsi"/>
              </w:rPr>
              <w:t>approval</w:t>
            </w:r>
            <w:proofErr w:type="spellEnd"/>
            <w:r w:rsidRPr="002A4BDB">
              <w:rPr>
                <w:rFonts w:cstheme="minorHAnsi"/>
              </w:rPr>
              <w:t>“) nurodytai specifikacijai. Prie simbolio nurodytas minimalus kiekis OĮG patvirtintų aprobacijų, kurias Tiekėjas pasirinktinai iš sąrašo privalo pateikti savo siūlomai Prekei. Tiekėjų pateikta informacija bus tikrinama, o radus siūlomų Prekių neatitikimų, Tiekėjo pasiūlymas bus atmetamas.</w:t>
            </w:r>
          </w:p>
          <w:p w14:paraId="6EF3FEE1" w14:textId="0FDD99EC" w:rsidR="00180BE3" w:rsidRPr="00180BE3" w:rsidRDefault="002A4BDB" w:rsidP="002A4BDB">
            <w:pPr>
              <w:jc w:val="both"/>
              <w:rPr>
                <w:rFonts w:cstheme="minorHAnsi"/>
              </w:rPr>
            </w:pPr>
            <w:r w:rsidRPr="002A4BDB">
              <w:rPr>
                <w:rFonts w:cstheme="minorHAnsi"/>
              </w:rPr>
              <w:t>Daugelis tepalų gamintojų savo techninių duomenų lapuose ar internetinėse svetainėse deklaruoja visą eilę OĮG patvirtinimų nors faktiškai jų neturi,  todėl manome, kad tokia redakcija kaip „.....Prekės gamintojo oficialiame puslapyje patalpintą sąrašą, kuriame yra informacija apie siūlomos Prekės patvirtinimą“ nėra tiksli bei objektyvi nes prekės gamintojas yra suinteresuotas asmuo laimėti konkursą. Todėl šiuo atveju tik OĮG gali pateikti objektyvią informaciją apie produktą</w:t>
            </w:r>
          </w:p>
        </w:tc>
        <w:tc>
          <w:tcPr>
            <w:tcW w:w="4814" w:type="dxa"/>
          </w:tcPr>
          <w:p w14:paraId="2B3E05F4" w14:textId="106B4D96" w:rsidR="00180BE3" w:rsidRPr="00180BE3" w:rsidRDefault="005E7022" w:rsidP="00105A5F">
            <w:pPr>
              <w:tabs>
                <w:tab w:val="left" w:pos="4696"/>
                <w:tab w:val="left" w:pos="6687"/>
              </w:tabs>
              <w:jc w:val="both"/>
              <w:rPr>
                <w:rFonts w:cstheme="minorHAnsi"/>
                <w:b/>
                <w:bCs/>
                <w:i/>
                <w:color w:val="538135" w:themeColor="accent6" w:themeShade="BF"/>
              </w:rPr>
            </w:pPr>
            <w:r w:rsidRPr="005E7022">
              <w:rPr>
                <w:rFonts w:eastAsia="Times New Roman" w:cstheme="minorHAnsi"/>
              </w:rPr>
              <w:t>Siūlomas tiekėjo TS papildymas („tik OĮG gali pateikti objektyvią informaciją apie produktą“) nepagrįstai apribotų tiekėjų konkurenciją, kadangi ne visų alyvų gamintojai turi galimybę viešai pateikti tiesioginius išrašus iš OĮG sistemų, tačiau jų produktai yra įtraukti į OĮG patvirtintus sąrašus ar gamintojo oficialiai deklaruojami kaip turintys konkrečius patvirtinimus.</w:t>
            </w:r>
            <w:r w:rsidR="00DC0932">
              <w:rPr>
                <w:rFonts w:eastAsia="Times New Roman" w:cstheme="minorHAnsi"/>
              </w:rPr>
              <w:t xml:space="preserve"> Todėl siekiant nesumažinti tiekėjų konkurencijos šis prašymas nebus tenkinamas.</w:t>
            </w:r>
          </w:p>
        </w:tc>
      </w:tr>
      <w:tr w:rsidR="00DC0932" w:rsidRPr="00180BE3" w14:paraId="6D666A2E" w14:textId="77777777" w:rsidTr="00105A5F">
        <w:tc>
          <w:tcPr>
            <w:tcW w:w="4814" w:type="dxa"/>
          </w:tcPr>
          <w:p w14:paraId="120FE2AB" w14:textId="2D73B815" w:rsidR="00627979" w:rsidRPr="00627979" w:rsidRDefault="00627979" w:rsidP="00627979">
            <w:pPr>
              <w:jc w:val="both"/>
              <w:rPr>
                <w:rFonts w:cstheme="minorHAnsi"/>
              </w:rPr>
            </w:pPr>
            <w:r w:rsidRPr="00627979">
              <w:rPr>
                <w:rFonts w:cstheme="minorHAnsi"/>
              </w:rPr>
              <w:t>1</w:t>
            </w:r>
            <w:r>
              <w:rPr>
                <w:rFonts w:cstheme="minorHAnsi"/>
              </w:rPr>
              <w:t xml:space="preserve"> </w:t>
            </w:r>
            <w:r w:rsidRPr="00627979">
              <w:rPr>
                <w:rFonts w:cstheme="minorHAnsi"/>
              </w:rPr>
              <w:t>pirkimo dalis Variklinės alyvos</w:t>
            </w:r>
          </w:p>
          <w:p w14:paraId="06777911" w14:textId="77777777" w:rsidR="00627979" w:rsidRPr="00627979" w:rsidRDefault="00627979" w:rsidP="00627979">
            <w:pPr>
              <w:jc w:val="both"/>
              <w:rPr>
                <w:rFonts w:cstheme="minorHAnsi"/>
              </w:rPr>
            </w:pPr>
            <w:r w:rsidRPr="00627979">
              <w:rPr>
                <w:rFonts w:cstheme="minorHAnsi"/>
              </w:rPr>
              <w:t>1poz  Turėtų būti sekančiai  ACEA E9/E11/E7;  DTFR 15C100 (</w:t>
            </w:r>
            <w:proofErr w:type="spellStart"/>
            <w:r w:rsidRPr="00627979">
              <w:rPr>
                <w:rFonts w:cstheme="minorHAnsi"/>
              </w:rPr>
              <w:t>ex</w:t>
            </w:r>
            <w:proofErr w:type="spellEnd"/>
            <w:r w:rsidRPr="00627979">
              <w:rPr>
                <w:rFonts w:cstheme="minorHAnsi"/>
              </w:rPr>
              <w:t xml:space="preserve"> MB 228.31); DEUTZ DQC III-18 LA; Volvo VDS-4.5;</w:t>
            </w:r>
          </w:p>
          <w:p w14:paraId="306C2478" w14:textId="77777777" w:rsidR="00627979" w:rsidRPr="00627979" w:rsidRDefault="00627979" w:rsidP="00627979">
            <w:pPr>
              <w:jc w:val="both"/>
              <w:rPr>
                <w:rFonts w:cstheme="minorHAnsi"/>
              </w:rPr>
            </w:pPr>
          </w:p>
          <w:p w14:paraId="3FBFD846" w14:textId="77777777" w:rsidR="00627979" w:rsidRPr="00627979" w:rsidRDefault="00627979" w:rsidP="00627979">
            <w:pPr>
              <w:jc w:val="both"/>
              <w:rPr>
                <w:rFonts w:cstheme="minorHAnsi"/>
              </w:rPr>
            </w:pPr>
            <w:r w:rsidRPr="00627979">
              <w:rPr>
                <w:rFonts w:cstheme="minorHAnsi"/>
              </w:rPr>
              <w:t>2poz   Turėtų būti sekančiai ACEA E9/E11/E6/E8/E7; API CK-4; DTFR 15C110 (</w:t>
            </w:r>
            <w:proofErr w:type="spellStart"/>
            <w:r w:rsidRPr="00627979">
              <w:rPr>
                <w:rFonts w:cstheme="minorHAnsi"/>
              </w:rPr>
              <w:t>ex</w:t>
            </w:r>
            <w:proofErr w:type="spellEnd"/>
            <w:r w:rsidRPr="00627979">
              <w:rPr>
                <w:rFonts w:cstheme="minorHAnsi"/>
              </w:rPr>
              <w:t xml:space="preserve"> 228.51); Volvo VDS-4,5</w:t>
            </w:r>
          </w:p>
          <w:p w14:paraId="3DD8D69D" w14:textId="77777777" w:rsidR="00627979" w:rsidRPr="00627979" w:rsidRDefault="00627979" w:rsidP="00627979">
            <w:pPr>
              <w:jc w:val="both"/>
              <w:rPr>
                <w:rFonts w:cstheme="minorHAnsi"/>
              </w:rPr>
            </w:pPr>
            <w:r w:rsidRPr="00627979">
              <w:rPr>
                <w:rFonts w:cstheme="minorHAnsi"/>
              </w:rPr>
              <w:t xml:space="preserve">              3poz    Turėtų būti sekančiai ACEA E9/E11/E6/E8/E7; API CK-4;  DTFR 15C110 (</w:t>
            </w:r>
            <w:proofErr w:type="spellStart"/>
            <w:r w:rsidRPr="00627979">
              <w:rPr>
                <w:rFonts w:cstheme="minorHAnsi"/>
              </w:rPr>
              <w:t>ex</w:t>
            </w:r>
            <w:proofErr w:type="spellEnd"/>
            <w:r w:rsidRPr="00627979">
              <w:rPr>
                <w:rFonts w:cstheme="minorHAnsi"/>
              </w:rPr>
              <w:t xml:space="preserve"> 228.51);  </w:t>
            </w:r>
          </w:p>
          <w:p w14:paraId="42AE0F11" w14:textId="77777777" w:rsidR="00627979" w:rsidRPr="00627979" w:rsidRDefault="00627979" w:rsidP="00627979">
            <w:pPr>
              <w:jc w:val="both"/>
              <w:rPr>
                <w:rFonts w:cstheme="minorHAnsi"/>
              </w:rPr>
            </w:pPr>
            <w:r w:rsidRPr="00627979">
              <w:rPr>
                <w:rFonts w:cstheme="minorHAnsi"/>
              </w:rPr>
              <w:t xml:space="preserve">               Volvo VDS-4,5</w:t>
            </w:r>
          </w:p>
          <w:p w14:paraId="2A84C456" w14:textId="222BAE7A" w:rsidR="00627979" w:rsidRPr="00627979" w:rsidRDefault="00627979" w:rsidP="00627979">
            <w:pPr>
              <w:jc w:val="both"/>
              <w:rPr>
                <w:rFonts w:cstheme="minorHAnsi"/>
              </w:rPr>
            </w:pPr>
            <w:r w:rsidRPr="00627979">
              <w:rPr>
                <w:rFonts w:cstheme="minorHAnsi"/>
              </w:rPr>
              <w:t>4poz Turėtų būti sekančiai DTFR 15B110 (</w:t>
            </w:r>
            <w:proofErr w:type="spellStart"/>
            <w:r w:rsidRPr="00627979">
              <w:rPr>
                <w:rFonts w:cstheme="minorHAnsi"/>
              </w:rPr>
              <w:t>ex</w:t>
            </w:r>
            <w:proofErr w:type="spellEnd"/>
            <w:r w:rsidRPr="00627979">
              <w:rPr>
                <w:rFonts w:cstheme="minorHAnsi"/>
              </w:rPr>
              <w:t xml:space="preserve"> Mn228.3)</w:t>
            </w:r>
          </w:p>
          <w:p w14:paraId="01E12FC0" w14:textId="2D69E40F" w:rsidR="00DC0932" w:rsidRPr="002A4BDB" w:rsidRDefault="00627979" w:rsidP="00627979">
            <w:pPr>
              <w:jc w:val="both"/>
              <w:rPr>
                <w:rFonts w:cstheme="minorHAnsi"/>
              </w:rPr>
            </w:pPr>
            <w:r w:rsidRPr="00627979">
              <w:rPr>
                <w:rFonts w:cstheme="minorHAnsi"/>
              </w:rPr>
              <w:t>5poz   Turėtų būti sekančiai ACEA E9/E11/E7;</w:t>
            </w:r>
          </w:p>
        </w:tc>
        <w:tc>
          <w:tcPr>
            <w:tcW w:w="4814" w:type="dxa"/>
          </w:tcPr>
          <w:p w14:paraId="36F19824" w14:textId="24B4822C" w:rsidR="00DC0932" w:rsidRPr="005E7022" w:rsidRDefault="003070CE" w:rsidP="00105A5F">
            <w:pPr>
              <w:tabs>
                <w:tab w:val="left" w:pos="4696"/>
                <w:tab w:val="left" w:pos="6687"/>
              </w:tabs>
              <w:jc w:val="both"/>
              <w:rPr>
                <w:rFonts w:eastAsia="Times New Roman" w:cstheme="minorHAnsi"/>
              </w:rPr>
            </w:pPr>
            <w:r>
              <w:rPr>
                <w:rFonts w:eastAsia="Times New Roman" w:cstheme="minorHAnsi"/>
              </w:rPr>
              <w:t>Perkančioji organizacija n</w:t>
            </w:r>
            <w:r w:rsidRPr="003070CE">
              <w:rPr>
                <w:rFonts w:eastAsia="Times New Roman" w:cstheme="minorHAnsi"/>
              </w:rPr>
              <w:t>urod</w:t>
            </w:r>
            <w:r>
              <w:rPr>
                <w:rFonts w:eastAsia="Times New Roman" w:cstheme="minorHAnsi"/>
              </w:rPr>
              <w:t>o</w:t>
            </w:r>
            <w:r w:rsidRPr="003070CE">
              <w:rPr>
                <w:rFonts w:eastAsia="Times New Roman" w:cstheme="minorHAnsi"/>
              </w:rPr>
              <w:t xml:space="preserve"> minimal</w:t>
            </w:r>
            <w:r>
              <w:rPr>
                <w:rFonts w:eastAsia="Times New Roman" w:cstheme="minorHAnsi"/>
              </w:rPr>
              <w:t>ius</w:t>
            </w:r>
            <w:r w:rsidRPr="003070CE">
              <w:rPr>
                <w:rFonts w:eastAsia="Times New Roman" w:cstheme="minorHAnsi"/>
              </w:rPr>
              <w:t xml:space="preserve"> reikalavim</w:t>
            </w:r>
            <w:r>
              <w:rPr>
                <w:rFonts w:eastAsia="Times New Roman" w:cstheme="minorHAnsi"/>
              </w:rPr>
              <w:t>us p</w:t>
            </w:r>
            <w:r w:rsidR="00B56560">
              <w:rPr>
                <w:rFonts w:eastAsia="Times New Roman" w:cstheme="minorHAnsi"/>
              </w:rPr>
              <w:t>roduktams</w:t>
            </w:r>
            <w:r w:rsidRPr="003070CE">
              <w:rPr>
                <w:rFonts w:eastAsia="Times New Roman" w:cstheme="minorHAnsi"/>
              </w:rPr>
              <w:t xml:space="preserve">. Tiekėjai gali teikti ir aukštesnes specifikacijas atitinkančius produktus. jeigu nurodytos aukštesnės specifikacijos </w:t>
            </w:r>
            <w:r w:rsidR="00B56560">
              <w:rPr>
                <w:rFonts w:eastAsia="Times New Roman" w:cstheme="minorHAnsi"/>
              </w:rPr>
              <w:t>atitinka</w:t>
            </w:r>
            <w:r w:rsidRPr="003070CE">
              <w:rPr>
                <w:rFonts w:eastAsia="Times New Roman" w:cstheme="minorHAnsi"/>
              </w:rPr>
              <w:t xml:space="preserve"> žemesni</w:t>
            </w:r>
            <w:r w:rsidR="00B56560">
              <w:rPr>
                <w:rFonts w:eastAsia="Times New Roman" w:cstheme="minorHAnsi"/>
              </w:rPr>
              <w:t xml:space="preserve">us Perkančiosios organizacijos </w:t>
            </w:r>
            <w:r w:rsidRPr="003070CE">
              <w:rPr>
                <w:rFonts w:eastAsia="Times New Roman" w:cstheme="minorHAnsi"/>
              </w:rPr>
              <w:t>nurodyt</w:t>
            </w:r>
            <w:r w:rsidR="00B56560">
              <w:rPr>
                <w:rFonts w:eastAsia="Times New Roman" w:cstheme="minorHAnsi"/>
              </w:rPr>
              <w:t>us</w:t>
            </w:r>
            <w:r w:rsidRPr="003070CE">
              <w:rPr>
                <w:rFonts w:eastAsia="Times New Roman" w:cstheme="minorHAnsi"/>
              </w:rPr>
              <w:t xml:space="preserve"> specifikacijų parametrus.</w:t>
            </w:r>
            <w:r w:rsidR="00D373BE">
              <w:rPr>
                <w:rFonts w:eastAsia="Times New Roman" w:cstheme="minorHAnsi"/>
              </w:rPr>
              <w:t xml:space="preserve"> Todėl siekiant nesumažinti tiekėjų konkurencijos šis prašymas nebus tenkinamas.</w:t>
            </w:r>
          </w:p>
        </w:tc>
      </w:tr>
      <w:tr w:rsidR="00B56560" w:rsidRPr="00180BE3" w14:paraId="5C39BC6D" w14:textId="77777777" w:rsidTr="00105A5F">
        <w:tc>
          <w:tcPr>
            <w:tcW w:w="4814" w:type="dxa"/>
          </w:tcPr>
          <w:p w14:paraId="54C395FD" w14:textId="1721D883" w:rsidR="005B143F" w:rsidRPr="005B143F" w:rsidRDefault="005B143F" w:rsidP="005B143F">
            <w:pPr>
              <w:jc w:val="both"/>
              <w:rPr>
                <w:rFonts w:cstheme="minorHAnsi"/>
              </w:rPr>
            </w:pPr>
            <w:r w:rsidRPr="005B143F">
              <w:rPr>
                <w:rFonts w:cstheme="minorHAnsi"/>
              </w:rPr>
              <w:t>2</w:t>
            </w:r>
            <w:r>
              <w:rPr>
                <w:rFonts w:cstheme="minorHAnsi"/>
              </w:rPr>
              <w:t xml:space="preserve"> </w:t>
            </w:r>
            <w:r w:rsidRPr="005B143F">
              <w:rPr>
                <w:rFonts w:cstheme="minorHAnsi"/>
              </w:rPr>
              <w:t xml:space="preserve">pirkimo dalis </w:t>
            </w:r>
            <w:proofErr w:type="spellStart"/>
            <w:r w:rsidRPr="005B143F">
              <w:rPr>
                <w:rFonts w:cstheme="minorHAnsi"/>
              </w:rPr>
              <w:t>Transmisinės</w:t>
            </w:r>
            <w:proofErr w:type="spellEnd"/>
            <w:r w:rsidRPr="005B143F">
              <w:rPr>
                <w:rFonts w:cstheme="minorHAnsi"/>
              </w:rPr>
              <w:t xml:space="preserve"> alyvos</w:t>
            </w:r>
          </w:p>
          <w:p w14:paraId="6E5DDC0E" w14:textId="77777777" w:rsidR="005B143F" w:rsidRPr="005B143F" w:rsidRDefault="005B143F" w:rsidP="005B143F">
            <w:pPr>
              <w:jc w:val="both"/>
              <w:rPr>
                <w:rFonts w:cstheme="minorHAnsi"/>
              </w:rPr>
            </w:pPr>
          </w:p>
          <w:p w14:paraId="595D83E2" w14:textId="21CFFA6D" w:rsidR="00B56560" w:rsidRPr="00627979" w:rsidRDefault="005B143F" w:rsidP="005B143F">
            <w:pPr>
              <w:jc w:val="both"/>
              <w:rPr>
                <w:rFonts w:cstheme="minorHAnsi"/>
              </w:rPr>
            </w:pPr>
            <w:r w:rsidRPr="005B143F">
              <w:rPr>
                <w:rFonts w:cstheme="minorHAnsi"/>
              </w:rPr>
              <w:lastRenderedPageBreak/>
              <w:t>3poz   MB 235.0 specifikacija apima klampumus SAE 90/SAE 80W-90 ir SAE 85W-90</w:t>
            </w:r>
          </w:p>
        </w:tc>
        <w:tc>
          <w:tcPr>
            <w:tcW w:w="4814" w:type="dxa"/>
          </w:tcPr>
          <w:p w14:paraId="73995408" w14:textId="428C80EC" w:rsidR="00B56560" w:rsidRDefault="000A4539" w:rsidP="00105A5F">
            <w:pPr>
              <w:tabs>
                <w:tab w:val="left" w:pos="4696"/>
                <w:tab w:val="left" w:pos="6687"/>
              </w:tabs>
              <w:jc w:val="both"/>
              <w:rPr>
                <w:rFonts w:eastAsia="Times New Roman" w:cstheme="minorHAnsi"/>
              </w:rPr>
            </w:pPr>
            <w:r w:rsidRPr="000A4539">
              <w:rPr>
                <w:rFonts w:eastAsia="Times New Roman" w:cstheme="minorHAnsi"/>
              </w:rPr>
              <w:lastRenderedPageBreak/>
              <w:t>3 pozicij</w:t>
            </w:r>
            <w:r>
              <w:rPr>
                <w:rFonts w:eastAsia="Times New Roman" w:cstheme="minorHAnsi"/>
              </w:rPr>
              <w:t>oje</w:t>
            </w:r>
            <w:r w:rsidRPr="000A4539">
              <w:rPr>
                <w:rFonts w:eastAsia="Times New Roman" w:cstheme="minorHAnsi"/>
              </w:rPr>
              <w:t xml:space="preserve"> reikalaujama „</w:t>
            </w:r>
            <w:proofErr w:type="spellStart"/>
            <w:r w:rsidRPr="000A4539">
              <w:rPr>
                <w:rFonts w:eastAsia="Times New Roman" w:cstheme="minorHAnsi"/>
              </w:rPr>
              <w:t>Visasezoninė</w:t>
            </w:r>
            <w:proofErr w:type="spellEnd"/>
            <w:r w:rsidRPr="000A4539">
              <w:rPr>
                <w:rFonts w:eastAsia="Times New Roman" w:cstheme="minorHAnsi"/>
              </w:rPr>
              <w:t xml:space="preserve"> </w:t>
            </w:r>
            <w:proofErr w:type="spellStart"/>
            <w:r w:rsidRPr="000A4539">
              <w:rPr>
                <w:rFonts w:eastAsia="Times New Roman" w:cstheme="minorHAnsi"/>
              </w:rPr>
              <w:t>transmisinė</w:t>
            </w:r>
            <w:proofErr w:type="spellEnd"/>
            <w:r w:rsidRPr="000A4539">
              <w:rPr>
                <w:rFonts w:eastAsia="Times New Roman" w:cstheme="minorHAnsi"/>
              </w:rPr>
              <w:t xml:space="preserve"> alyva 80W-90 arba 85W-90, skirta pavarų dėžėms ir </w:t>
            </w:r>
            <w:r w:rsidRPr="000A4539">
              <w:rPr>
                <w:rFonts w:eastAsia="Times New Roman" w:cstheme="minorHAnsi"/>
              </w:rPr>
              <w:lastRenderedPageBreak/>
              <w:t>diferencialams.“ Todėl šiuo atveju tiekėjo pastaboje nurodytos klampumo klasės visiškai atitinka pirkimo dokumentuose numatytą alyvos tipą.</w:t>
            </w:r>
          </w:p>
        </w:tc>
      </w:tr>
      <w:tr w:rsidR="00D373BE" w:rsidRPr="00180BE3" w14:paraId="057D9ED4" w14:textId="77777777" w:rsidTr="00105A5F">
        <w:tc>
          <w:tcPr>
            <w:tcW w:w="4814" w:type="dxa"/>
          </w:tcPr>
          <w:p w14:paraId="7A4791F2" w14:textId="49549074" w:rsidR="00EF42E3" w:rsidRPr="00EF42E3" w:rsidRDefault="00EF42E3" w:rsidP="00EF42E3">
            <w:pPr>
              <w:jc w:val="both"/>
              <w:rPr>
                <w:rFonts w:cstheme="minorHAnsi"/>
              </w:rPr>
            </w:pPr>
            <w:r w:rsidRPr="00EF42E3">
              <w:rPr>
                <w:rFonts w:cstheme="minorHAnsi"/>
              </w:rPr>
              <w:lastRenderedPageBreak/>
              <w:t>3</w:t>
            </w:r>
            <w:r>
              <w:rPr>
                <w:rFonts w:cstheme="minorHAnsi"/>
              </w:rPr>
              <w:t xml:space="preserve"> </w:t>
            </w:r>
            <w:r w:rsidRPr="00EF42E3">
              <w:rPr>
                <w:rFonts w:cstheme="minorHAnsi"/>
              </w:rPr>
              <w:t>pirkimo dalis Hidraulinės alyvos</w:t>
            </w:r>
          </w:p>
          <w:p w14:paraId="26B6EB80" w14:textId="77777777" w:rsidR="00EF42E3" w:rsidRPr="00EF42E3" w:rsidRDefault="00EF42E3" w:rsidP="00EF42E3">
            <w:pPr>
              <w:jc w:val="both"/>
              <w:rPr>
                <w:rFonts w:cstheme="minorHAnsi"/>
              </w:rPr>
            </w:pPr>
          </w:p>
          <w:p w14:paraId="643AE7FB" w14:textId="52754745" w:rsidR="00D373BE" w:rsidRPr="005B143F" w:rsidRDefault="00EF42E3" w:rsidP="00EF42E3">
            <w:pPr>
              <w:jc w:val="both"/>
              <w:rPr>
                <w:rFonts w:cstheme="minorHAnsi"/>
              </w:rPr>
            </w:pPr>
            <w:r w:rsidRPr="00EF42E3">
              <w:rPr>
                <w:rFonts w:cstheme="minorHAnsi"/>
              </w:rPr>
              <w:t xml:space="preserve">2poz Hidraulinei alyvai ISO VG 22 neatliekami testai pagal nurodytus siurblių testus </w:t>
            </w:r>
            <w:proofErr w:type="spellStart"/>
            <w:r w:rsidRPr="00EF42E3">
              <w:rPr>
                <w:rFonts w:cstheme="minorHAnsi"/>
              </w:rPr>
              <w:t>Eaton</w:t>
            </w:r>
            <w:proofErr w:type="spellEnd"/>
            <w:r w:rsidRPr="00EF42E3">
              <w:rPr>
                <w:rFonts w:cstheme="minorHAnsi"/>
              </w:rPr>
              <w:t xml:space="preserve"> </w:t>
            </w:r>
            <w:proofErr w:type="spellStart"/>
            <w:r w:rsidRPr="00EF42E3">
              <w:rPr>
                <w:rFonts w:cstheme="minorHAnsi"/>
              </w:rPr>
              <w:t>Vickers</w:t>
            </w:r>
            <w:proofErr w:type="spellEnd"/>
            <w:r w:rsidRPr="00EF42E3">
              <w:rPr>
                <w:rFonts w:cstheme="minorHAnsi"/>
              </w:rPr>
              <w:t xml:space="preserve"> M-2950-S arba E-FDGN-TB002-E.</w:t>
            </w:r>
          </w:p>
        </w:tc>
        <w:tc>
          <w:tcPr>
            <w:tcW w:w="4814" w:type="dxa"/>
          </w:tcPr>
          <w:p w14:paraId="1FF5380A" w14:textId="77777777" w:rsidR="003D5F11" w:rsidRPr="003D5F11" w:rsidRDefault="003D5F11" w:rsidP="003D5F11">
            <w:pPr>
              <w:tabs>
                <w:tab w:val="left" w:pos="4696"/>
                <w:tab w:val="left" w:pos="6687"/>
              </w:tabs>
              <w:jc w:val="both"/>
              <w:rPr>
                <w:rFonts w:eastAsia="Times New Roman" w:cstheme="minorHAnsi"/>
              </w:rPr>
            </w:pPr>
            <w:r w:rsidRPr="003D5F11">
              <w:rPr>
                <w:rFonts w:eastAsia="Times New Roman" w:cstheme="minorHAnsi"/>
              </w:rPr>
              <w:t>Perkančioji organizacija techninį reikalavimą</w:t>
            </w:r>
          </w:p>
          <w:p w14:paraId="1D73ABC8" w14:textId="77777777" w:rsidR="003D5F11" w:rsidRPr="003D5F11" w:rsidRDefault="003D5F11" w:rsidP="003D5F11">
            <w:pPr>
              <w:tabs>
                <w:tab w:val="left" w:pos="4696"/>
                <w:tab w:val="left" w:pos="6687"/>
              </w:tabs>
              <w:jc w:val="both"/>
              <w:rPr>
                <w:rFonts w:eastAsia="Times New Roman" w:cstheme="minorHAnsi"/>
              </w:rPr>
            </w:pPr>
            <w:r w:rsidRPr="003D5F11">
              <w:rPr>
                <w:rFonts w:eastAsia="Times New Roman" w:cstheme="minorHAnsi"/>
              </w:rPr>
              <w:t xml:space="preserve">specifikacijoms </w:t>
            </w:r>
            <w:proofErr w:type="spellStart"/>
            <w:r w:rsidRPr="003D5F11">
              <w:rPr>
                <w:rFonts w:eastAsia="Times New Roman" w:cstheme="minorHAnsi"/>
              </w:rPr>
              <w:t>Eaton</w:t>
            </w:r>
            <w:proofErr w:type="spellEnd"/>
            <w:r w:rsidRPr="003D5F11">
              <w:rPr>
                <w:rFonts w:eastAsia="Times New Roman" w:cstheme="minorHAnsi"/>
              </w:rPr>
              <w:t xml:space="preserve"> </w:t>
            </w:r>
            <w:proofErr w:type="spellStart"/>
            <w:r w:rsidRPr="003D5F11">
              <w:rPr>
                <w:rFonts w:eastAsia="Times New Roman" w:cstheme="minorHAnsi"/>
              </w:rPr>
              <w:t>Vickers</w:t>
            </w:r>
            <w:proofErr w:type="spellEnd"/>
            <w:r w:rsidRPr="003D5F11">
              <w:rPr>
                <w:rFonts w:eastAsia="Times New Roman" w:cstheme="minorHAnsi"/>
              </w:rPr>
              <w:t xml:space="preserve"> M-2950-S arba E-FDGN-TB002-E suformavo vertindama rinkos</w:t>
            </w:r>
          </w:p>
          <w:p w14:paraId="7991CA74" w14:textId="77777777" w:rsidR="003D5F11" w:rsidRPr="003D5F11" w:rsidRDefault="003D5F11" w:rsidP="003D5F11">
            <w:pPr>
              <w:tabs>
                <w:tab w:val="left" w:pos="4696"/>
                <w:tab w:val="left" w:pos="6687"/>
              </w:tabs>
              <w:jc w:val="both"/>
              <w:rPr>
                <w:rFonts w:eastAsia="Times New Roman" w:cstheme="minorHAnsi"/>
              </w:rPr>
            </w:pPr>
            <w:r w:rsidRPr="003D5F11">
              <w:rPr>
                <w:rFonts w:eastAsia="Times New Roman" w:cstheme="minorHAnsi"/>
              </w:rPr>
              <w:t>pasiūlą ir siekdama sudaryti sąlygas siūlyti alyvą, atitinkančią tiek senos specifikacijos (</w:t>
            </w:r>
            <w:proofErr w:type="spellStart"/>
            <w:r w:rsidRPr="003D5F11">
              <w:rPr>
                <w:rFonts w:eastAsia="Times New Roman" w:cstheme="minorHAnsi"/>
              </w:rPr>
              <w:t>Eaton</w:t>
            </w:r>
            <w:proofErr w:type="spellEnd"/>
          </w:p>
          <w:p w14:paraId="42E27A60" w14:textId="658889A4" w:rsidR="00D373BE" w:rsidRPr="000A4539" w:rsidRDefault="003D5F11" w:rsidP="003D5F11">
            <w:pPr>
              <w:tabs>
                <w:tab w:val="left" w:pos="4696"/>
                <w:tab w:val="left" w:pos="6687"/>
              </w:tabs>
              <w:jc w:val="both"/>
              <w:rPr>
                <w:rFonts w:eastAsia="Times New Roman" w:cstheme="minorHAnsi"/>
              </w:rPr>
            </w:pPr>
            <w:proofErr w:type="spellStart"/>
            <w:r w:rsidRPr="003D5F11">
              <w:rPr>
                <w:rFonts w:eastAsia="Times New Roman" w:cstheme="minorHAnsi"/>
              </w:rPr>
              <w:t>Vickers</w:t>
            </w:r>
            <w:proofErr w:type="spellEnd"/>
            <w:r w:rsidRPr="003D5F11">
              <w:rPr>
                <w:rFonts w:eastAsia="Times New Roman" w:cstheme="minorHAnsi"/>
              </w:rPr>
              <w:t xml:space="preserve"> M-2950-S) reikalavimus, tiek alyvą, kuri atitinka arba vieną arba kitą specifikacijas.</w:t>
            </w:r>
          </w:p>
        </w:tc>
      </w:tr>
      <w:tr w:rsidR="00985707" w:rsidRPr="00180BE3" w14:paraId="6BC60267" w14:textId="77777777" w:rsidTr="00105A5F">
        <w:tc>
          <w:tcPr>
            <w:tcW w:w="4814" w:type="dxa"/>
          </w:tcPr>
          <w:p w14:paraId="6E82D25B" w14:textId="4CABE0A4" w:rsidR="00985707" w:rsidRPr="00EF42E3" w:rsidRDefault="00A6655C" w:rsidP="00EF42E3">
            <w:pPr>
              <w:jc w:val="both"/>
              <w:rPr>
                <w:rFonts w:cstheme="minorHAnsi"/>
              </w:rPr>
            </w:pPr>
            <w:r w:rsidRPr="00A6655C">
              <w:rPr>
                <w:rFonts w:cstheme="minorHAnsi"/>
              </w:rPr>
              <w:t>Ar tikrai būtina pateikti techninių duomenų lapų vertimą į lietuvių kalbą? Tai papildomos išlaidos norinčiam pirkime dalyvauti tiekėjui. Šiuo metu daugeliui perkančiųjų įmonių užtenka nuorodos į gamintojo puslapį, kuriame yra techninių duomenų lapai anglų kalba. Galiojantys techninių duomenų lapų originalai yra pateikiami gamintojo internetiniame tinklapyje.</w:t>
            </w:r>
          </w:p>
        </w:tc>
        <w:tc>
          <w:tcPr>
            <w:tcW w:w="4814" w:type="dxa"/>
          </w:tcPr>
          <w:p w14:paraId="2BCCD2F6" w14:textId="46149477" w:rsidR="00985707" w:rsidRPr="006E45AB" w:rsidRDefault="00134200" w:rsidP="0082764D">
            <w:pPr>
              <w:tabs>
                <w:tab w:val="left" w:pos="4696"/>
                <w:tab w:val="left" w:pos="6687"/>
              </w:tabs>
              <w:jc w:val="both"/>
              <w:rPr>
                <w:rFonts w:eastAsia="Times New Roman" w:cstheme="minorHAnsi"/>
              </w:rPr>
            </w:pPr>
            <w:r w:rsidRPr="006E45AB">
              <w:t xml:space="preserve">Perkančioji organizacija nereikalauja </w:t>
            </w:r>
            <w:r w:rsidR="00C771B8" w:rsidRPr="006E45AB">
              <w:t>pateikti pateiki</w:t>
            </w:r>
            <w:r w:rsidR="0035399D">
              <w:t>a</w:t>
            </w:r>
            <w:r w:rsidR="00C771B8" w:rsidRPr="006E45AB">
              <w:t xml:space="preserve">mų dokumentų </w:t>
            </w:r>
            <w:r w:rsidR="007C2687">
              <w:t xml:space="preserve">vertimų </w:t>
            </w:r>
            <w:r w:rsidR="00C771B8" w:rsidRPr="006E45AB">
              <w:t>patvirtintų vertėjų biuro oficialiu antspaudu ar notaro pat</w:t>
            </w:r>
            <w:r w:rsidR="00A539CD" w:rsidRPr="006E45AB">
              <w:t xml:space="preserve">virtinimu, t. y. tiekėjai gali pasirinkti </w:t>
            </w:r>
            <w:r w:rsidR="004E1C3F" w:rsidRPr="006E45AB">
              <w:t>jiems priimtiną vertimo būdą ir atitinkamai patvirtinti</w:t>
            </w:r>
            <w:r w:rsidR="0096723A" w:rsidRPr="006E45AB">
              <w:t xml:space="preserve"> </w:t>
            </w:r>
            <w:r w:rsidR="006E45AB" w:rsidRPr="006E45AB">
              <w:t>pateikiamą vertimą.</w:t>
            </w:r>
          </w:p>
        </w:tc>
      </w:tr>
      <w:tr w:rsidR="00985707" w:rsidRPr="00180BE3" w14:paraId="54995132" w14:textId="77777777" w:rsidTr="00105A5F">
        <w:tc>
          <w:tcPr>
            <w:tcW w:w="4814" w:type="dxa"/>
          </w:tcPr>
          <w:p w14:paraId="4ACF2120" w14:textId="11FE009D" w:rsidR="00985707" w:rsidRPr="00EF42E3" w:rsidRDefault="00241EA5" w:rsidP="00EF42E3">
            <w:pPr>
              <w:jc w:val="both"/>
              <w:rPr>
                <w:rFonts w:cstheme="minorHAnsi"/>
              </w:rPr>
            </w:pPr>
            <w:r w:rsidRPr="00241EA5">
              <w:rPr>
                <w:rFonts w:cstheme="minorHAnsi"/>
              </w:rPr>
              <w:t xml:space="preserve">dėl Techninės specifikacijos reikalavimų 3.7 punkto - tiekėjas (užsiimantis vien tik prekybine veikla) negali organizuoti pavojingų atliekų surinkimo, tam </w:t>
            </w:r>
            <w:proofErr w:type="spellStart"/>
            <w:r w:rsidRPr="00241EA5">
              <w:rPr>
                <w:rFonts w:cstheme="minorHAnsi"/>
              </w:rPr>
              <w:t>reikalimgas</w:t>
            </w:r>
            <w:proofErr w:type="spellEnd"/>
            <w:r w:rsidRPr="00241EA5">
              <w:rPr>
                <w:rFonts w:cstheme="minorHAnsi"/>
              </w:rPr>
              <w:t xml:space="preserve"> taršos leidimas. Ar šiame pirkime dalyvaujantis tiekėjas privalo turėti ir taršos leidimą?</w:t>
            </w:r>
          </w:p>
        </w:tc>
        <w:tc>
          <w:tcPr>
            <w:tcW w:w="4814" w:type="dxa"/>
          </w:tcPr>
          <w:p w14:paraId="07369907" w14:textId="29C048ED" w:rsidR="00985707" w:rsidRPr="003D5F11" w:rsidRDefault="00B5176F" w:rsidP="003D5F11">
            <w:pPr>
              <w:tabs>
                <w:tab w:val="left" w:pos="4696"/>
                <w:tab w:val="left" w:pos="6687"/>
              </w:tabs>
              <w:jc w:val="both"/>
              <w:rPr>
                <w:rFonts w:eastAsia="Times New Roman" w:cstheme="minorHAnsi"/>
              </w:rPr>
            </w:pPr>
            <w:r w:rsidRPr="00B5176F">
              <w:rPr>
                <w:rFonts w:eastAsia="Times New Roman" w:cstheme="minorHAnsi"/>
              </w:rPr>
              <w:t xml:space="preserve">Pirkime dalyvaujantis tiekėjas neprivalo turėti taršos leidimo, tačiau turi būti pajėgus </w:t>
            </w:r>
            <w:r w:rsidR="00853635">
              <w:rPr>
                <w:rFonts w:eastAsia="Times New Roman" w:cstheme="minorHAnsi"/>
              </w:rPr>
              <w:t xml:space="preserve">organizuoti ir </w:t>
            </w:r>
            <w:r w:rsidRPr="00B5176F">
              <w:rPr>
                <w:rFonts w:eastAsia="Times New Roman" w:cstheme="minorHAnsi"/>
              </w:rPr>
              <w:t>užtikrinti, kad atidirbusios alyvos utilizavimas bus vykdomas teisės aktų nustatyta tvarka per LR aplinkos apsaugos ministerijos licencijuotas įmones, turinčias teisę tvarkyti pavojingas atliekas.</w:t>
            </w:r>
          </w:p>
        </w:tc>
      </w:tr>
      <w:tr w:rsidR="00985707" w:rsidRPr="00180BE3" w14:paraId="48115B23" w14:textId="77777777" w:rsidTr="00105A5F">
        <w:tc>
          <w:tcPr>
            <w:tcW w:w="4814" w:type="dxa"/>
          </w:tcPr>
          <w:p w14:paraId="6394F158" w14:textId="1C04461D" w:rsidR="00985707" w:rsidRPr="00EF42E3" w:rsidRDefault="00241EA5" w:rsidP="00EF42E3">
            <w:pPr>
              <w:jc w:val="both"/>
              <w:rPr>
                <w:rFonts w:cstheme="minorHAnsi"/>
              </w:rPr>
            </w:pPr>
            <w:r w:rsidRPr="00241EA5">
              <w:rPr>
                <w:rFonts w:cstheme="minorHAnsi"/>
              </w:rPr>
              <w:t>dėl 4.3 punkto - dėl pirmojo prekių pristatymo. Visi reikiami produktai ir/ar fasuotės nėra palaikomos sandėlyje, todėl pirmam prekių patiekimui prašome nurodyti protingą 30-40 dienų terminą.</w:t>
            </w:r>
          </w:p>
        </w:tc>
        <w:tc>
          <w:tcPr>
            <w:tcW w:w="4814" w:type="dxa"/>
          </w:tcPr>
          <w:p w14:paraId="63FBA5B7" w14:textId="50294829" w:rsidR="00985707" w:rsidRPr="003D5F11" w:rsidRDefault="007E6801" w:rsidP="003D5F11">
            <w:pPr>
              <w:tabs>
                <w:tab w:val="left" w:pos="4696"/>
                <w:tab w:val="left" w:pos="6687"/>
              </w:tabs>
              <w:jc w:val="both"/>
              <w:rPr>
                <w:rFonts w:eastAsia="Times New Roman" w:cstheme="minorHAnsi"/>
              </w:rPr>
            </w:pPr>
            <w:r w:rsidRPr="007E6801">
              <w:rPr>
                <w:rFonts w:eastAsia="Times New Roman" w:cstheme="minorHAnsi"/>
              </w:rPr>
              <w:t>Pirkėjas neplanuoja keisti nurodyto termino, kadangi tokia pristatymo trukmė yra būtina užtikrinti nepertraukiamą veiklos procesą. Tiekėjai, planuodami pasiūlymus, turėtų įsivertinti galimybę užtikrinti reikiamą prekių tiekimo greitį, palaikant atitinkamą atsargų kiekį. Taip pat atlikto rinkos tyrimo</w:t>
            </w:r>
            <w:r w:rsidR="00BA7B94">
              <w:rPr>
                <w:rFonts w:eastAsia="Times New Roman" w:cstheme="minorHAnsi"/>
              </w:rPr>
              <w:t xml:space="preserve"> metu</w:t>
            </w:r>
            <w:r w:rsidRPr="007E6801">
              <w:rPr>
                <w:rFonts w:eastAsia="Times New Roman" w:cstheme="minorHAnsi"/>
              </w:rPr>
              <w:t xml:space="preserve"> nustatyta, jog prekes pristatyti per 1 - 2 </w:t>
            </w:r>
            <w:r w:rsidR="008448B3">
              <w:rPr>
                <w:rFonts w:eastAsia="Times New Roman" w:cstheme="minorHAnsi"/>
              </w:rPr>
              <w:t>(dvi) darbo</w:t>
            </w:r>
            <w:r w:rsidRPr="007E6801">
              <w:rPr>
                <w:rFonts w:eastAsia="Times New Roman" w:cstheme="minorHAnsi"/>
              </w:rPr>
              <w:t xml:space="preserve"> dienas gali </w:t>
            </w:r>
            <w:r w:rsidR="00BA7B94">
              <w:rPr>
                <w:rFonts w:eastAsia="Times New Roman" w:cstheme="minorHAnsi"/>
              </w:rPr>
              <w:t>pakankamai rinkos dalyvių.</w:t>
            </w:r>
          </w:p>
        </w:tc>
      </w:tr>
      <w:tr w:rsidR="00241EA5" w:rsidRPr="00180BE3" w14:paraId="43C9C339" w14:textId="77777777" w:rsidTr="00105A5F">
        <w:tc>
          <w:tcPr>
            <w:tcW w:w="4814" w:type="dxa"/>
          </w:tcPr>
          <w:p w14:paraId="6F7DA300" w14:textId="0DDCCD5D" w:rsidR="00241EA5" w:rsidRPr="00241EA5" w:rsidRDefault="00241EA5" w:rsidP="00EF42E3">
            <w:pPr>
              <w:jc w:val="both"/>
              <w:rPr>
                <w:rFonts w:cstheme="minorHAnsi"/>
              </w:rPr>
            </w:pPr>
            <w:r w:rsidRPr="00241EA5">
              <w:rPr>
                <w:rFonts w:cstheme="minorHAnsi"/>
              </w:rPr>
              <w:t xml:space="preserve">dėl 4.4 punkto - dėl prekių pristatymo per 1 dieną (iki sekančios dienos 12 </w:t>
            </w:r>
            <w:proofErr w:type="spellStart"/>
            <w:r w:rsidRPr="00241EA5">
              <w:rPr>
                <w:rFonts w:cstheme="minorHAnsi"/>
              </w:rPr>
              <w:t>val</w:t>
            </w:r>
            <w:proofErr w:type="spellEnd"/>
            <w:r w:rsidRPr="00241EA5">
              <w:rPr>
                <w:rFonts w:cstheme="minorHAnsi"/>
              </w:rPr>
              <w:t xml:space="preserve">), jei užsakymas yra pateikiamas iki 12 </w:t>
            </w:r>
            <w:proofErr w:type="spellStart"/>
            <w:r w:rsidRPr="00241EA5">
              <w:rPr>
                <w:rFonts w:cstheme="minorHAnsi"/>
              </w:rPr>
              <w:t>val</w:t>
            </w:r>
            <w:proofErr w:type="spellEnd"/>
            <w:r w:rsidRPr="00241EA5">
              <w:rPr>
                <w:rFonts w:cstheme="minorHAnsi"/>
              </w:rPr>
              <w:t xml:space="preserve"> - ne visais jūsų nurodytais adresais kurjeriai/siuntų tarnybos gali suteikti pristatymo iki 12 </w:t>
            </w:r>
            <w:proofErr w:type="spellStart"/>
            <w:r w:rsidRPr="00241EA5">
              <w:rPr>
                <w:rFonts w:cstheme="minorHAnsi"/>
              </w:rPr>
              <w:t>val</w:t>
            </w:r>
            <w:proofErr w:type="spellEnd"/>
            <w:r w:rsidRPr="00241EA5">
              <w:rPr>
                <w:rFonts w:cstheme="minorHAnsi"/>
              </w:rPr>
              <w:t xml:space="preserve"> paslaugą. Prašome nurodyti protingą pristatymo terminą (arba neriboti pristatymo laiko, arba palikti 2 </w:t>
            </w:r>
            <w:proofErr w:type="spellStart"/>
            <w:r w:rsidRPr="00241EA5">
              <w:rPr>
                <w:rFonts w:cstheme="minorHAnsi"/>
              </w:rPr>
              <w:t>d.d</w:t>
            </w:r>
            <w:proofErr w:type="spellEnd"/>
            <w:r w:rsidRPr="00241EA5">
              <w:rPr>
                <w:rFonts w:cstheme="minorHAnsi"/>
              </w:rPr>
              <w:t>.)</w:t>
            </w:r>
          </w:p>
        </w:tc>
        <w:tc>
          <w:tcPr>
            <w:tcW w:w="4814" w:type="dxa"/>
          </w:tcPr>
          <w:p w14:paraId="41E33089" w14:textId="75313ACF" w:rsidR="00241EA5" w:rsidRPr="003D5F11" w:rsidRDefault="008D129C" w:rsidP="003D5F11">
            <w:pPr>
              <w:tabs>
                <w:tab w:val="left" w:pos="4696"/>
                <w:tab w:val="left" w:pos="6687"/>
              </w:tabs>
              <w:jc w:val="both"/>
              <w:rPr>
                <w:rFonts w:eastAsia="Times New Roman" w:cstheme="minorHAnsi"/>
              </w:rPr>
            </w:pPr>
            <w:r w:rsidRPr="008D129C">
              <w:rPr>
                <w:rFonts w:eastAsia="Times New Roman" w:cstheme="minorHAnsi"/>
              </w:rPr>
              <w:t>Atsiradus nenumatytoms aplinkybėms, dėl kurių neįmanoma laiku pristatyti Prekės (pvz., kurjerių/siuntų tarnybų apribojimų tam tikrose vietovėse), Tiekėjas įsipareigoja nedelsiant informuoti Pirkėją apie tokių aplinkybių atsiradimą. Vykdymo terminas gali būti atitinkamai koreguojamas ir, šalims raštiškai patvirtinus, pratęsiamas, tačiau bendras Prekių pristatymo terminas negali būti ilgesnis nei 2 (dvi) darbo dienos.</w:t>
            </w:r>
          </w:p>
        </w:tc>
      </w:tr>
      <w:tr w:rsidR="006D4603" w:rsidRPr="00180BE3" w14:paraId="6C5CFCC9" w14:textId="77777777" w:rsidTr="00105A5F">
        <w:tc>
          <w:tcPr>
            <w:tcW w:w="4814" w:type="dxa"/>
          </w:tcPr>
          <w:p w14:paraId="7BC071BB" w14:textId="77777777" w:rsidR="006D4603" w:rsidRPr="006D4603" w:rsidRDefault="006D4603" w:rsidP="006D4603">
            <w:pPr>
              <w:jc w:val="both"/>
              <w:rPr>
                <w:rFonts w:cstheme="minorHAnsi"/>
              </w:rPr>
            </w:pPr>
            <w:r w:rsidRPr="006D4603">
              <w:rPr>
                <w:rFonts w:cstheme="minorHAnsi"/>
              </w:rPr>
              <w:t xml:space="preserve">„5.1. Pirkimui taikomos Reglamento nuostatos. Kartu su pasiūlymu tiekėjas turi pateikti užpildytą deklaraciją dėl (ne)atitikties Reglamento nuostatoms, kuri pateikta specialiųjų pirkimo sąlygų 8 ir 9 prieduose („Tiekėjo deklaracija dėl atitikties Reglamento nuostatoms juridiniam asmeniui“ ir „Tiekėjo deklaracija dėl atitikties Reglamento nuostatoms fiziniam asmeniui“). Kilus abejonių dėl tiekėjo (ne)atitikties Reglamento nuostatoms, perkančioji organizacija iš galimo laimėtojo prašys </w:t>
            </w:r>
            <w:r w:rsidRPr="006D4603">
              <w:rPr>
                <w:rFonts w:cstheme="minorHAnsi"/>
              </w:rPr>
              <w:lastRenderedPageBreak/>
              <w:t>pateikti dokumentus, įrodančius deklaracijoje pateiktų duomenų teisingumą.“</w:t>
            </w:r>
          </w:p>
          <w:p w14:paraId="20D80B1F" w14:textId="77777777" w:rsidR="006D4603" w:rsidRPr="006D4603" w:rsidRDefault="006D4603" w:rsidP="006D4603">
            <w:pPr>
              <w:jc w:val="both"/>
              <w:rPr>
                <w:rFonts w:cstheme="minorHAnsi"/>
              </w:rPr>
            </w:pPr>
          </w:p>
          <w:p w14:paraId="1A334B09" w14:textId="1B2F653A" w:rsidR="006D4603" w:rsidRPr="00241EA5" w:rsidRDefault="006D4603" w:rsidP="006D4603">
            <w:pPr>
              <w:jc w:val="both"/>
              <w:rPr>
                <w:rFonts w:cstheme="minorHAnsi"/>
              </w:rPr>
            </w:pPr>
            <w:r w:rsidRPr="006D4603">
              <w:rPr>
                <w:rFonts w:cstheme="minorHAnsi"/>
              </w:rPr>
              <w:t>Čia reikia abi užpildyti deklaracijas? Ar užtenka tik vienos juridinio asmenio?</w:t>
            </w:r>
          </w:p>
        </w:tc>
        <w:tc>
          <w:tcPr>
            <w:tcW w:w="4814" w:type="dxa"/>
          </w:tcPr>
          <w:p w14:paraId="3CD256E9" w14:textId="52879BB7" w:rsidR="006D4603" w:rsidRPr="008D129C" w:rsidRDefault="006D4603" w:rsidP="003D5F11">
            <w:pPr>
              <w:tabs>
                <w:tab w:val="left" w:pos="4696"/>
                <w:tab w:val="left" w:pos="6687"/>
              </w:tabs>
              <w:jc w:val="both"/>
              <w:rPr>
                <w:rFonts w:eastAsia="Times New Roman" w:cstheme="minorHAnsi"/>
              </w:rPr>
            </w:pPr>
            <w:r>
              <w:rPr>
                <w:rFonts w:eastAsia="Times New Roman" w:cstheme="minorHAnsi"/>
              </w:rPr>
              <w:lastRenderedPageBreak/>
              <w:t>Tiekėjai turi užpildyti</w:t>
            </w:r>
            <w:r w:rsidR="00314746">
              <w:rPr>
                <w:rFonts w:eastAsia="Times New Roman" w:cstheme="minorHAnsi"/>
              </w:rPr>
              <w:t xml:space="preserve"> ir pateikti</w:t>
            </w:r>
            <w:r>
              <w:rPr>
                <w:rFonts w:eastAsia="Times New Roman" w:cstheme="minorHAnsi"/>
              </w:rPr>
              <w:t xml:space="preserve"> tik tą deklaraciją kuri aktuali jų atveju, t. y. </w:t>
            </w:r>
            <w:r w:rsidR="00314746">
              <w:rPr>
                <w:rFonts w:eastAsia="Times New Roman" w:cstheme="minorHAnsi"/>
              </w:rPr>
              <w:t>tiekėjai dalyvaujantys kaip juridiniais asmenys turi užpildyti ir pateikti priedą skirtą juridiniams asmenims, o tiekėjai dalyvaujantys kaip fiziniai asmenys turi užpildyti ir pateikti deklaraciją skirtą fiziniams asmenims.</w:t>
            </w:r>
          </w:p>
        </w:tc>
      </w:tr>
    </w:tbl>
    <w:p w14:paraId="0515F1F5" w14:textId="77777777" w:rsidR="00180BE3" w:rsidRPr="00180BE3" w:rsidRDefault="00180BE3" w:rsidP="003F13E1">
      <w:pPr>
        <w:tabs>
          <w:tab w:val="left" w:pos="630"/>
        </w:tabs>
        <w:spacing w:after="0" w:line="240" w:lineRule="auto"/>
        <w:ind w:firstLine="567"/>
        <w:jc w:val="both"/>
        <w:rPr>
          <w:rFonts w:cstheme="minorHAnsi"/>
        </w:rPr>
      </w:pPr>
    </w:p>
    <w:p w14:paraId="6310E460" w14:textId="737031DB" w:rsidR="00D405B6" w:rsidRPr="00180BE3" w:rsidRDefault="00D405B6" w:rsidP="00881F62">
      <w:pPr>
        <w:rPr>
          <w:rFonts w:cstheme="minorHAnsi"/>
        </w:rPr>
      </w:pPr>
    </w:p>
    <w:sectPr w:rsidR="00D405B6" w:rsidRPr="00180BE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949DE"/>
    <w:multiLevelType w:val="multilevel"/>
    <w:tmpl w:val="29D0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336369"/>
    <w:multiLevelType w:val="hybridMultilevel"/>
    <w:tmpl w:val="0456B0F2"/>
    <w:lvl w:ilvl="0" w:tplc="ABAA4D78">
      <w:start w:val="1"/>
      <w:numFmt w:val="decimal"/>
      <w:suff w:val="space"/>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5475065">
    <w:abstractNumId w:val="1"/>
  </w:num>
  <w:num w:numId="2" w16cid:durableId="184204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D1"/>
    <w:rsid w:val="00044EC9"/>
    <w:rsid w:val="000A4539"/>
    <w:rsid w:val="00134200"/>
    <w:rsid w:val="00180BE3"/>
    <w:rsid w:val="001D4874"/>
    <w:rsid w:val="001D4CA7"/>
    <w:rsid w:val="001F2F58"/>
    <w:rsid w:val="00241EA5"/>
    <w:rsid w:val="002A4BDB"/>
    <w:rsid w:val="003070CE"/>
    <w:rsid w:val="00314746"/>
    <w:rsid w:val="0035399D"/>
    <w:rsid w:val="003A0A0B"/>
    <w:rsid w:val="003B1D79"/>
    <w:rsid w:val="003D5F11"/>
    <w:rsid w:val="003F13E1"/>
    <w:rsid w:val="0049453C"/>
    <w:rsid w:val="004E1C3F"/>
    <w:rsid w:val="00510895"/>
    <w:rsid w:val="00535DB7"/>
    <w:rsid w:val="0055333B"/>
    <w:rsid w:val="005B143F"/>
    <w:rsid w:val="005D7400"/>
    <w:rsid w:val="005E7022"/>
    <w:rsid w:val="005F5675"/>
    <w:rsid w:val="00627979"/>
    <w:rsid w:val="006D4603"/>
    <w:rsid w:val="006E45AB"/>
    <w:rsid w:val="00716F50"/>
    <w:rsid w:val="00730B34"/>
    <w:rsid w:val="007534DA"/>
    <w:rsid w:val="007C2687"/>
    <w:rsid w:val="007E6801"/>
    <w:rsid w:val="00812869"/>
    <w:rsid w:val="0082764D"/>
    <w:rsid w:val="008448B3"/>
    <w:rsid w:val="00853635"/>
    <w:rsid w:val="00881F62"/>
    <w:rsid w:val="00887F19"/>
    <w:rsid w:val="008C4D00"/>
    <w:rsid w:val="008D129C"/>
    <w:rsid w:val="00940B2E"/>
    <w:rsid w:val="00945AF7"/>
    <w:rsid w:val="00960178"/>
    <w:rsid w:val="0096723A"/>
    <w:rsid w:val="00970E86"/>
    <w:rsid w:val="00985707"/>
    <w:rsid w:val="00A539CD"/>
    <w:rsid w:val="00A554D1"/>
    <w:rsid w:val="00A6655C"/>
    <w:rsid w:val="00B2105F"/>
    <w:rsid w:val="00B5176F"/>
    <w:rsid w:val="00B56560"/>
    <w:rsid w:val="00B90E34"/>
    <w:rsid w:val="00BA7B94"/>
    <w:rsid w:val="00BE5222"/>
    <w:rsid w:val="00C771B8"/>
    <w:rsid w:val="00C8740B"/>
    <w:rsid w:val="00CD3C25"/>
    <w:rsid w:val="00D25235"/>
    <w:rsid w:val="00D373BE"/>
    <w:rsid w:val="00D405B6"/>
    <w:rsid w:val="00DC0932"/>
    <w:rsid w:val="00DE37D3"/>
    <w:rsid w:val="00EE3830"/>
    <w:rsid w:val="00EF42E3"/>
    <w:rsid w:val="00F164EA"/>
    <w:rsid w:val="00F675DC"/>
    <w:rsid w:val="00FC475B"/>
    <w:rsid w:val="00FE5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9411"/>
  <w15:chartTrackingRefBased/>
  <w15:docId w15:val="{AF92C2EB-0946-4B7C-B607-CF85E4D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81F6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881F62"/>
    <w:rPr>
      <w:b/>
      <w:bCs/>
    </w:rPr>
  </w:style>
  <w:style w:type="character" w:styleId="Hipersaitas">
    <w:name w:val="Hyperlink"/>
    <w:basedOn w:val="Numatytasispastraiposriftas"/>
    <w:uiPriority w:val="99"/>
    <w:unhideWhenUsed/>
    <w:rsid w:val="00881F62"/>
    <w:rPr>
      <w:color w:val="0563C1" w:themeColor="hyperlink"/>
      <w:u w:val="single"/>
    </w:rPr>
  </w:style>
  <w:style w:type="character" w:styleId="Neapdorotaspaminjimas">
    <w:name w:val="Unresolved Mention"/>
    <w:basedOn w:val="Numatytasispastraiposriftas"/>
    <w:uiPriority w:val="99"/>
    <w:semiHidden/>
    <w:unhideWhenUsed/>
    <w:rsid w:val="00881F62"/>
    <w:rPr>
      <w:color w:val="605E5C"/>
      <w:shd w:val="clear" w:color="auto" w:fill="E1DFDD"/>
    </w:rPr>
  </w:style>
  <w:style w:type="character" w:styleId="Emfaz">
    <w:name w:val="Emphasis"/>
    <w:basedOn w:val="Numatytasispastraiposriftas"/>
    <w:uiPriority w:val="20"/>
    <w:qFormat/>
    <w:rsid w:val="00945AF7"/>
    <w:rPr>
      <w:i/>
      <w:iCs/>
    </w:rPr>
  </w:style>
  <w:style w:type="character" w:customStyle="1" w:styleId="Stilius1">
    <w:name w:val="Stilius1"/>
    <w:basedOn w:val="Numatytasispastraiposriftas"/>
    <w:uiPriority w:val="1"/>
    <w:rsid w:val="003F13E1"/>
    <w:rPr>
      <w:rFonts w:ascii="Times New Roman" w:hAnsi="Times New Roman"/>
      <w:sz w:val="24"/>
    </w:rPr>
  </w:style>
  <w:style w:type="character" w:customStyle="1" w:styleId="Stilius2">
    <w:name w:val="Stilius2"/>
    <w:basedOn w:val="Numatytasispastraiposriftas"/>
    <w:uiPriority w:val="1"/>
    <w:rsid w:val="003F13E1"/>
    <w:rPr>
      <w:rFonts w:ascii="Times New Roman" w:hAnsi="Times New Roman"/>
      <w:sz w:val="24"/>
    </w:rPr>
  </w:style>
  <w:style w:type="table" w:styleId="Lentelstinklelis">
    <w:name w:val="Table Grid"/>
    <w:basedOn w:val="prastojilentel"/>
    <w:uiPriority w:val="59"/>
    <w:rsid w:val="003F13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80BE3"/>
    <w:pPr>
      <w:spacing w:after="200" w:line="276" w:lineRule="auto"/>
      <w:ind w:left="720"/>
      <w:contextualSpacing/>
    </w:pPr>
    <w:rPr>
      <w:rFonts w:ascii="Calibri" w:eastAsia="Times New Roman" w:hAnsi="Calibri" w:cs="Times New Roman"/>
      <w:kern w:val="0"/>
      <w:lang w:val="en-US"/>
      <w14:ligatures w14:val="none"/>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80BE3"/>
    <w:rPr>
      <w:rFonts w:ascii="Calibri" w:eastAsia="Times New Roman" w:hAnsi="Calibri" w:cs="Times New Roman"/>
      <w:kern w:val="0"/>
      <w:lang w:val="en-US"/>
      <w14:ligatures w14:val="none"/>
    </w:rPr>
  </w:style>
  <w:style w:type="character" w:styleId="Komentaronuoroda">
    <w:name w:val="annotation reference"/>
    <w:basedOn w:val="Numatytasispastraiposriftas"/>
    <w:uiPriority w:val="99"/>
    <w:semiHidden/>
    <w:unhideWhenUsed/>
    <w:rsid w:val="001D4874"/>
    <w:rPr>
      <w:sz w:val="16"/>
      <w:szCs w:val="16"/>
    </w:rPr>
  </w:style>
  <w:style w:type="paragraph" w:styleId="Komentarotekstas">
    <w:name w:val="annotation text"/>
    <w:basedOn w:val="prastasis"/>
    <w:link w:val="KomentarotekstasDiagrama"/>
    <w:uiPriority w:val="99"/>
    <w:semiHidden/>
    <w:unhideWhenUsed/>
    <w:rsid w:val="001D48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D4874"/>
    <w:rPr>
      <w:sz w:val="20"/>
      <w:szCs w:val="20"/>
    </w:rPr>
  </w:style>
  <w:style w:type="paragraph" w:styleId="Komentarotema">
    <w:name w:val="annotation subject"/>
    <w:basedOn w:val="Komentarotekstas"/>
    <w:next w:val="Komentarotekstas"/>
    <w:link w:val="KomentarotemaDiagrama"/>
    <w:uiPriority w:val="99"/>
    <w:semiHidden/>
    <w:unhideWhenUsed/>
    <w:rsid w:val="001D4874"/>
    <w:rPr>
      <w:b/>
      <w:bCs/>
    </w:rPr>
  </w:style>
  <w:style w:type="character" w:customStyle="1" w:styleId="KomentarotemaDiagrama">
    <w:name w:val="Komentaro tema Diagrama"/>
    <w:basedOn w:val="KomentarotekstasDiagrama"/>
    <w:link w:val="Komentarotema"/>
    <w:uiPriority w:val="99"/>
    <w:semiHidden/>
    <w:rsid w:val="001D4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389">
      <w:bodyDiv w:val="1"/>
      <w:marLeft w:val="0"/>
      <w:marRight w:val="0"/>
      <w:marTop w:val="0"/>
      <w:marBottom w:val="0"/>
      <w:divBdr>
        <w:top w:val="none" w:sz="0" w:space="0" w:color="auto"/>
        <w:left w:val="none" w:sz="0" w:space="0" w:color="auto"/>
        <w:bottom w:val="none" w:sz="0" w:space="0" w:color="auto"/>
        <w:right w:val="none" w:sz="0" w:space="0" w:color="auto"/>
      </w:divBdr>
    </w:div>
    <w:div w:id="206078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4513</Words>
  <Characters>2573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Guzelis</dc:creator>
  <cp:keywords/>
  <dc:description/>
  <cp:lastModifiedBy>Egidijus Kemeraitis</cp:lastModifiedBy>
  <cp:revision>6</cp:revision>
  <dcterms:created xsi:type="dcterms:W3CDTF">2025-10-15T13:09:00Z</dcterms:created>
  <dcterms:modified xsi:type="dcterms:W3CDTF">2025-10-16T10:54:00Z</dcterms:modified>
</cp:coreProperties>
</file>