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BC8B" w14:textId="57F31FBC" w:rsidR="00A415BF" w:rsidRDefault="00DF4F90" w:rsidP="00E9496C">
      <w:pPr>
        <w:spacing w:line="276" w:lineRule="auto"/>
        <w:jc w:val="both"/>
        <w:rPr>
          <w:rFonts w:ascii="Arial" w:hAnsi="Arial" w:cs="Arial"/>
          <w:b/>
          <w:bCs/>
          <w:sz w:val="24"/>
          <w:szCs w:val="24"/>
          <w:u w:val="single"/>
        </w:rPr>
      </w:pPr>
      <w:r w:rsidRPr="001422D9">
        <w:rPr>
          <w:rFonts w:ascii="Arial" w:hAnsi="Arial" w:cs="Arial"/>
          <w:b/>
          <w:sz w:val="24"/>
          <w:szCs w:val="24"/>
          <w:u w:val="single"/>
        </w:rPr>
        <w:t>Teikiame atsakymus į gautus tiekėjo klausimus</w:t>
      </w:r>
      <w:r w:rsidR="00E1085C" w:rsidRPr="001422D9">
        <w:rPr>
          <w:rFonts w:ascii="Arial" w:hAnsi="Arial" w:cs="Arial"/>
          <w:b/>
          <w:bCs/>
          <w:sz w:val="24"/>
          <w:szCs w:val="24"/>
          <w:u w:val="single"/>
        </w:rPr>
        <w:t>:</w:t>
      </w:r>
    </w:p>
    <w:p w14:paraId="66FCE70F" w14:textId="77777777" w:rsidR="00753BA4" w:rsidRPr="001422D9" w:rsidRDefault="00753BA4" w:rsidP="00E9496C">
      <w:pPr>
        <w:spacing w:line="276" w:lineRule="auto"/>
        <w:jc w:val="both"/>
        <w:rPr>
          <w:rFonts w:ascii="Arial" w:hAnsi="Arial" w:cs="Arial"/>
          <w:sz w:val="24"/>
          <w:szCs w:val="24"/>
          <w:u w:val="single"/>
        </w:rPr>
      </w:pPr>
    </w:p>
    <w:p w14:paraId="5C1549DD" w14:textId="77777777" w:rsidR="00985BA1" w:rsidRPr="005E1CC2" w:rsidRDefault="00985BA1" w:rsidP="00985BA1">
      <w:pPr>
        <w:pStyle w:val="prastasiniatinklio"/>
        <w:shd w:val="clear" w:color="auto" w:fill="FFFFFF"/>
        <w:spacing w:before="200" w:after="0" w:line="276" w:lineRule="auto"/>
        <w:jc w:val="both"/>
        <w:rPr>
          <w:rFonts w:ascii="Arial" w:hAnsi="Arial" w:cs="Arial"/>
        </w:rPr>
      </w:pPr>
      <w:r w:rsidRPr="005E1CC2">
        <w:rPr>
          <w:rFonts w:ascii="Arial" w:hAnsi="Arial" w:cs="Arial"/>
          <w:b/>
          <w:bCs/>
          <w:shd w:val="clear" w:color="auto" w:fill="FFFFFF"/>
        </w:rPr>
        <w:t xml:space="preserve">1. Klausimas: </w:t>
      </w:r>
      <w:r w:rsidRPr="005E1CC2">
        <w:rPr>
          <w:rFonts w:ascii="Arial" w:hAnsi="Arial" w:cs="Arial"/>
        </w:rPr>
        <w:t>Dėl pirkimo objekto neskaidymo į dalis</w:t>
      </w:r>
    </w:p>
    <w:p w14:paraId="37BF83A5" w14:textId="77777777" w:rsidR="00985BA1" w:rsidRPr="005E1CC2" w:rsidRDefault="00985BA1" w:rsidP="00985BA1">
      <w:pPr>
        <w:pStyle w:val="Pagrindinistekstas"/>
        <w:spacing w:before="200" w:after="0" w:line="276" w:lineRule="auto"/>
        <w:jc w:val="both"/>
        <w:rPr>
          <w:rFonts w:ascii="Arial" w:hAnsi="Arial" w:cs="Arial"/>
        </w:rPr>
      </w:pPr>
      <w:r w:rsidRPr="005E1CC2">
        <w:rPr>
          <w:rFonts w:ascii="Arial" w:hAnsi="Arial" w:cs="Arial"/>
        </w:rPr>
        <w:t>Perkantysis subjektas nurodo, kad šis pirkimas į dalis neskaidomas, motyvuojant tuo, jog taikomas PĮ, o ne VPĮ. Vis dėlto tiek PĮ 28 straipsnio 2 dalis, tiek VPĮ numato pareigą</w:t>
      </w:r>
    </w:p>
    <w:p w14:paraId="492A1B0C" w14:textId="77777777" w:rsidR="00985BA1" w:rsidRPr="005E1CC2" w:rsidRDefault="00985BA1" w:rsidP="00985BA1">
      <w:pPr>
        <w:pStyle w:val="Pagrindinistekstas"/>
        <w:spacing w:before="200" w:after="0" w:line="276" w:lineRule="auto"/>
        <w:jc w:val="both"/>
        <w:rPr>
          <w:rFonts w:ascii="Arial" w:hAnsi="Arial" w:cs="Arial"/>
        </w:rPr>
      </w:pPr>
      <w:r w:rsidRPr="005E1CC2">
        <w:rPr>
          <w:rFonts w:ascii="Arial" w:hAnsi="Arial" w:cs="Arial"/>
        </w:rPr>
        <w:t>įvertinti, ar yra galimybė pirkimo objektą padalyti į dalis. Pats faktas, kad pirkimas nėra tarptautinis, savaime nėra pagrindas neskaidyti objekto.</w:t>
      </w:r>
    </w:p>
    <w:p w14:paraId="6F5C677C" w14:textId="77777777" w:rsidR="00985BA1" w:rsidRPr="005E1CC2" w:rsidRDefault="00985BA1" w:rsidP="00985BA1">
      <w:pPr>
        <w:pStyle w:val="Pagrindinistekstas"/>
        <w:spacing w:before="200" w:after="0" w:line="276" w:lineRule="auto"/>
        <w:jc w:val="both"/>
        <w:rPr>
          <w:rFonts w:ascii="Arial" w:hAnsi="Arial" w:cs="Arial"/>
        </w:rPr>
      </w:pPr>
      <w:r w:rsidRPr="005E1CC2">
        <w:rPr>
          <w:rFonts w:ascii="Arial" w:hAnsi="Arial" w:cs="Arial"/>
        </w:rPr>
        <w:t>Spausdinimo ir pristatymo paslaugos yra skirtingo pobūdžio, todėl jos galėtų būti perkamos atskirai. Neskaidydamas pirkimo perkantysis subjektas riboja konkurenciją, o tai pažeidžia PĮ 29 straipsnyje įtvirtintą proporcingumo principą.</w:t>
      </w:r>
    </w:p>
    <w:p w14:paraId="46FAEEDE" w14:textId="77777777" w:rsidR="00985BA1" w:rsidRPr="005E1CC2" w:rsidRDefault="00985BA1" w:rsidP="00985BA1">
      <w:pPr>
        <w:pStyle w:val="prastasiniatinklio"/>
        <w:shd w:val="clear" w:color="auto" w:fill="FFFFFF"/>
        <w:spacing w:before="200" w:after="0" w:line="276" w:lineRule="auto"/>
        <w:jc w:val="both"/>
        <w:rPr>
          <w:rFonts w:ascii="Arial" w:hAnsi="Arial" w:cs="Arial"/>
        </w:rPr>
      </w:pPr>
      <w:r w:rsidRPr="005E1CC2">
        <w:rPr>
          <w:rFonts w:ascii="Arial" w:hAnsi="Arial" w:cs="Arial"/>
        </w:rPr>
        <w:t>Prašome pateikti motyvuotą paaiškinimą, kodėl pirkimo objektas neskaidytas į dalis, arba patikslinti dokumentus taip, kad būtų galima teikti pasiūlymus atskiroms dalims.</w:t>
      </w:r>
    </w:p>
    <w:p w14:paraId="23AA8701" w14:textId="6EABBA09"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b/>
          <w:bCs/>
          <w:sz w:val="24"/>
          <w:szCs w:val="24"/>
        </w:rPr>
        <w:t>Atsakymas:</w:t>
      </w:r>
      <w:r w:rsidRPr="005E1CC2">
        <w:rPr>
          <w:rFonts w:ascii="Arial" w:hAnsi="Arial" w:cs="Arial"/>
          <w:sz w:val="24"/>
          <w:szCs w:val="24"/>
        </w:rPr>
        <w:t xml:space="preserve"> Tiekėjas nurodo, kad vadovaujantis PĮ 28 str. 2 dalimi </w:t>
      </w:r>
      <w:r w:rsidR="00C137BC">
        <w:rPr>
          <w:rFonts w:ascii="Arial" w:hAnsi="Arial" w:cs="Arial"/>
          <w:sz w:val="24"/>
          <w:szCs w:val="24"/>
        </w:rPr>
        <w:t>P</w:t>
      </w:r>
      <w:r w:rsidRPr="005E1CC2">
        <w:rPr>
          <w:rFonts w:ascii="Arial" w:hAnsi="Arial" w:cs="Arial"/>
          <w:sz w:val="24"/>
          <w:szCs w:val="24"/>
        </w:rPr>
        <w:t xml:space="preserve">erkantysis subjektas turi pareigą įvertinti ar yra galimybė pirkimo objektą padalyti į dalis. Pažymėtina, kad minėta teisės norma reglamentuoja, kad „Jeigu šio straipsnio 1 dalyje nurodytą prašymą teikia </w:t>
      </w:r>
      <w:r w:rsidR="00C137BC">
        <w:rPr>
          <w:rFonts w:ascii="Arial" w:hAnsi="Arial" w:cs="Arial"/>
          <w:sz w:val="24"/>
          <w:szCs w:val="24"/>
        </w:rPr>
        <w:t>p</w:t>
      </w:r>
      <w:r w:rsidRPr="005E1CC2">
        <w:rPr>
          <w:rFonts w:ascii="Arial" w:hAnsi="Arial" w:cs="Arial"/>
          <w:sz w:val="24"/>
          <w:szCs w:val="24"/>
        </w:rPr>
        <w:t>erkantysis subjektas, tai jo kopiją jis turi išsiųsti ir įgaliotai atitinkamoje vandentvarkos, energetikos, transporto ar pašto srityje, kurioje veikia perkantysis subjektas, kompetentingai Lietuvos Respublikos institucijai“. Minėtas teisinis reglamentavimas yra niekaip nesusijęs su pirkimo skaidymu į dalis ir pateiktu tiekėjo klausimu.</w:t>
      </w:r>
    </w:p>
    <w:p w14:paraId="6009E85C" w14:textId="42BAF85D"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sz w:val="24"/>
          <w:szCs w:val="24"/>
        </w:rPr>
        <w:t xml:space="preserve">Tiekėjas nurodo, kad </w:t>
      </w:r>
      <w:r w:rsidR="00BB55DB">
        <w:rPr>
          <w:rFonts w:ascii="Arial" w:hAnsi="Arial" w:cs="Arial"/>
          <w:sz w:val="24"/>
          <w:szCs w:val="24"/>
        </w:rPr>
        <w:t>P</w:t>
      </w:r>
      <w:r w:rsidRPr="005E1CC2">
        <w:rPr>
          <w:rFonts w:ascii="Arial" w:hAnsi="Arial" w:cs="Arial"/>
          <w:sz w:val="24"/>
          <w:szCs w:val="24"/>
        </w:rPr>
        <w:t xml:space="preserve">erkantysis subjektas, neskaidydamas pirkimo į dalis pažeidžia proporcingumo principą, tačiau nenurodo, kaip pirkimo neskaidymas į dalis minėtą principą pažeidžia. </w:t>
      </w:r>
    </w:p>
    <w:p w14:paraId="7723F7B2" w14:textId="194DB5D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sz w:val="24"/>
          <w:szCs w:val="24"/>
        </w:rPr>
        <w:t xml:space="preserve">Pabrėžtina, kad </w:t>
      </w:r>
      <w:r w:rsidR="00BB55DB">
        <w:rPr>
          <w:rFonts w:ascii="Arial" w:hAnsi="Arial" w:cs="Arial"/>
          <w:sz w:val="24"/>
          <w:szCs w:val="24"/>
        </w:rPr>
        <w:t>P</w:t>
      </w:r>
      <w:r w:rsidRPr="005E1CC2">
        <w:rPr>
          <w:rFonts w:ascii="Arial" w:hAnsi="Arial" w:cs="Arial"/>
          <w:sz w:val="24"/>
          <w:szCs w:val="24"/>
        </w:rPr>
        <w:t xml:space="preserve">erkantysis subjektas, siekdamas įgyvendinti pirkimų principus neskaido pirkimo į dalis. Nagrinėjamu atveju, siekiant racionaliai panaudoti pirkimui skirtas lėšas, taip pat siekiant efektyvaus pirkimo sutarties vykdymo, asmens duomenų saugumo bei paslaugos vykdymo efektyvumo, </w:t>
      </w:r>
      <w:r w:rsidR="00017065">
        <w:rPr>
          <w:rFonts w:ascii="Arial" w:hAnsi="Arial" w:cs="Arial"/>
          <w:sz w:val="24"/>
          <w:szCs w:val="24"/>
        </w:rPr>
        <w:t>P</w:t>
      </w:r>
      <w:r w:rsidRPr="005E1CC2">
        <w:rPr>
          <w:rFonts w:ascii="Arial" w:hAnsi="Arial" w:cs="Arial"/>
          <w:sz w:val="24"/>
          <w:szCs w:val="24"/>
        </w:rPr>
        <w:t>erkantysis subjektas pirkimo į dalis neskaido. Papildomai pažymėtina, kad iš tiekėjų neatimta galimybė remtis subtiekėjais, todėl konkurencijos principas yra išlaikytas.</w:t>
      </w:r>
    </w:p>
    <w:p w14:paraId="39E2658B"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sz w:val="24"/>
          <w:szCs w:val="24"/>
        </w:rPr>
        <w:t>Prašymas pirkimą skaidyti į dalis – netenkinamas.</w:t>
      </w:r>
    </w:p>
    <w:p w14:paraId="3D5E6554" w14:textId="77777777" w:rsidR="00985BA1" w:rsidRPr="005E1CC2" w:rsidRDefault="00985BA1" w:rsidP="00985BA1">
      <w:pPr>
        <w:spacing w:before="200" w:after="0" w:line="276" w:lineRule="auto"/>
        <w:jc w:val="both"/>
        <w:rPr>
          <w:rFonts w:ascii="Arial" w:hAnsi="Arial" w:cs="Arial"/>
          <w:sz w:val="24"/>
          <w:szCs w:val="24"/>
        </w:rPr>
      </w:pPr>
    </w:p>
    <w:p w14:paraId="69622D91" w14:textId="77777777" w:rsidR="00985BA1" w:rsidRPr="005E1CC2" w:rsidRDefault="00985BA1" w:rsidP="00985BA1">
      <w:pPr>
        <w:pStyle w:val="prastasiniatinklio"/>
        <w:shd w:val="clear" w:color="auto" w:fill="FFFFFF"/>
        <w:spacing w:before="200" w:after="0" w:line="276" w:lineRule="auto"/>
        <w:jc w:val="both"/>
        <w:rPr>
          <w:rFonts w:ascii="Arial" w:hAnsi="Arial" w:cs="Arial"/>
        </w:rPr>
      </w:pPr>
      <w:r w:rsidRPr="005E1CC2">
        <w:rPr>
          <w:rFonts w:ascii="Arial" w:hAnsi="Arial" w:cs="Arial"/>
          <w:b/>
          <w:bCs/>
          <w:shd w:val="clear" w:color="auto" w:fill="FFFFFF"/>
        </w:rPr>
        <w:t xml:space="preserve">2. Klausimas: </w:t>
      </w:r>
      <w:r w:rsidRPr="005E1CC2">
        <w:rPr>
          <w:rFonts w:ascii="Arial" w:hAnsi="Arial" w:cs="Arial"/>
        </w:rPr>
        <w:t>Dėl kainos perskaičiavimo mechanizmo</w:t>
      </w:r>
    </w:p>
    <w:p w14:paraId="767AFCA6" w14:textId="77777777" w:rsidR="00985BA1" w:rsidRPr="005E1CC2" w:rsidRDefault="00985BA1" w:rsidP="00985BA1">
      <w:pPr>
        <w:pStyle w:val="Pagrindinistekstas"/>
        <w:spacing w:before="200" w:after="0" w:line="276" w:lineRule="auto"/>
        <w:jc w:val="both"/>
        <w:rPr>
          <w:rFonts w:ascii="Arial" w:hAnsi="Arial" w:cs="Arial"/>
        </w:rPr>
      </w:pPr>
      <w:r w:rsidRPr="005E1CC2">
        <w:rPr>
          <w:rFonts w:ascii="Arial" w:hAnsi="Arial" w:cs="Arial"/>
        </w:rPr>
        <w:t>Pagal pirkimo sąlygas numatyta, kad sutarties kaina gali būti koreguojama tik pagal H532 (kurjerių paslaugų) indeksą. Toks sprendimas neapima spausdinimo, popieriaus ir darbo sąnaudų pokyčių, todėl neatskleidžia realaus sąnaudų kitimo ilgesniu laikotarpiu.</w:t>
      </w:r>
    </w:p>
    <w:p w14:paraId="673B5880" w14:textId="77777777" w:rsidR="00985BA1" w:rsidRPr="005E1CC2" w:rsidRDefault="00985BA1" w:rsidP="00985BA1">
      <w:pPr>
        <w:pStyle w:val="Pagrindinistekstas"/>
        <w:spacing w:before="200" w:after="0" w:line="276" w:lineRule="auto"/>
        <w:jc w:val="both"/>
        <w:rPr>
          <w:rFonts w:ascii="Arial" w:hAnsi="Arial" w:cs="Arial"/>
        </w:rPr>
      </w:pPr>
      <w:r w:rsidRPr="005E1CC2">
        <w:rPr>
          <w:rFonts w:ascii="Arial" w:hAnsi="Arial" w:cs="Arial"/>
        </w:rPr>
        <w:t xml:space="preserve">Pagal PĮ 99 straipsnio 1 dalį kainos keitimo mechanizmas turi būti susietas su faktinėmis paslaugos sąnaudomis ir būti aiškus abiem šalims. Viešųjų pirkimų tarnybos praktikoje (pvz., </w:t>
      </w:r>
      <w:r w:rsidRPr="005E1CC2">
        <w:rPr>
          <w:rFonts w:ascii="Arial" w:hAnsi="Arial" w:cs="Arial"/>
        </w:rPr>
        <w:lastRenderedPageBreak/>
        <w:t>2023-06-12 sprendimas Nr. 4S-1789) pažymima, kad vieno siauro indekso taikymas, kai jis neatspindi visos paslaugos struktūros, laikomas neproporcingu.</w:t>
      </w:r>
    </w:p>
    <w:p w14:paraId="6ABF0B6D" w14:textId="77777777" w:rsidR="00985BA1" w:rsidRPr="005E1CC2" w:rsidRDefault="00985BA1" w:rsidP="00985BA1">
      <w:pPr>
        <w:pStyle w:val="Pagrindinistekstas"/>
        <w:spacing w:before="200" w:after="0" w:line="276" w:lineRule="auto"/>
        <w:jc w:val="both"/>
        <w:rPr>
          <w:rFonts w:ascii="Arial" w:hAnsi="Arial" w:cs="Arial"/>
        </w:rPr>
      </w:pPr>
      <w:r w:rsidRPr="005E1CC2">
        <w:rPr>
          <w:rFonts w:ascii="Arial" w:hAnsi="Arial" w:cs="Arial"/>
        </w:rPr>
        <w:t>Prašome papildyti kainos peržiūros nuostatą galimybe taikyti ir kitus rodiklius –</w:t>
      </w:r>
    </w:p>
    <w:p w14:paraId="3E264823" w14:textId="77777777" w:rsidR="00985BA1" w:rsidRPr="005E1CC2" w:rsidRDefault="00985BA1" w:rsidP="00985BA1">
      <w:pPr>
        <w:pStyle w:val="prastasiniatinklio"/>
        <w:shd w:val="clear" w:color="auto" w:fill="FFFFFF"/>
        <w:spacing w:before="200" w:after="0" w:line="276" w:lineRule="auto"/>
        <w:jc w:val="both"/>
        <w:rPr>
          <w:rFonts w:ascii="Arial" w:hAnsi="Arial" w:cs="Arial"/>
        </w:rPr>
      </w:pPr>
      <w:r w:rsidRPr="005E1CC2">
        <w:rPr>
          <w:rFonts w:ascii="Arial" w:hAnsi="Arial" w:cs="Arial"/>
        </w:rPr>
        <w:t>pavyzdžiui, popieriaus kainų ar bendrą infliacijos indeksą, kad būtų užtikrintas ekonominis pusiausvyros principas tarp šalių.</w:t>
      </w:r>
    </w:p>
    <w:p w14:paraId="5DAA4400"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b/>
          <w:bCs/>
          <w:sz w:val="24"/>
          <w:szCs w:val="24"/>
        </w:rPr>
        <w:t>Atsakymas:</w:t>
      </w:r>
      <w:r w:rsidRPr="005E1CC2">
        <w:rPr>
          <w:rFonts w:ascii="Arial" w:hAnsi="Arial" w:cs="Arial"/>
          <w:sz w:val="24"/>
          <w:szCs w:val="24"/>
        </w:rPr>
        <w:t xml:space="preserve"> Tiekėjas nurodo, kad PĮ 99 str. 1 d. nustato, jog kainos keitimo mechanizmas turi būti susietas su faktinėmis paslaugos sąnaudomis ir būti aiškus abiem šalims. Minėto teisės akto 99 str. reglamentuoja pirkimo sutarties neįvykdymą ar netinkamą įvykdymą. Tiekėjo pateiktas klausimas nesusijęs su nurodytu teisiniu reglamentavimu.</w:t>
      </w:r>
    </w:p>
    <w:p w14:paraId="67FF934F"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sz w:val="24"/>
          <w:szCs w:val="24"/>
        </w:rPr>
        <w:t>Nagrinėjamu atveju, Perkantysis subjektas pasirinko indeksą, kurio taikymas turi didžiausią įtaką pirkimo sutarties objektui, t. y. kurjerių paslaugos. Atsižvelgiant į minėtą aplinkybę, darytina pagrįsta išvada, kad ekonominis pusiausvyros principas tarp šalių yra užtikrintas.</w:t>
      </w:r>
    </w:p>
    <w:p w14:paraId="52C31956"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sz w:val="24"/>
          <w:szCs w:val="24"/>
        </w:rPr>
        <w:t>Atsižvelgiant į aukščiau išdėstytas aplinkybes, Perkantysis subjektas nepapildys kainos peržiūros nuostatų.</w:t>
      </w:r>
    </w:p>
    <w:p w14:paraId="21AFD7B4" w14:textId="77777777" w:rsidR="00985BA1" w:rsidRPr="005E1CC2" w:rsidRDefault="00985BA1" w:rsidP="00985BA1">
      <w:pPr>
        <w:spacing w:before="200" w:after="0" w:line="276" w:lineRule="auto"/>
        <w:jc w:val="both"/>
        <w:rPr>
          <w:rFonts w:ascii="Arial" w:hAnsi="Arial" w:cs="Arial"/>
          <w:sz w:val="24"/>
          <w:szCs w:val="24"/>
        </w:rPr>
      </w:pPr>
    </w:p>
    <w:p w14:paraId="71F2D799" w14:textId="77777777" w:rsidR="00985BA1" w:rsidRPr="005E1CC2" w:rsidRDefault="00985BA1" w:rsidP="00985BA1">
      <w:pPr>
        <w:pStyle w:val="prastasiniatinklio"/>
        <w:shd w:val="clear" w:color="auto" w:fill="FFFFFF"/>
        <w:spacing w:before="200" w:after="0" w:line="276" w:lineRule="auto"/>
        <w:jc w:val="both"/>
        <w:rPr>
          <w:rFonts w:ascii="Arial" w:hAnsi="Arial" w:cs="Arial"/>
        </w:rPr>
      </w:pPr>
      <w:r w:rsidRPr="005E1CC2">
        <w:rPr>
          <w:rFonts w:ascii="Arial" w:hAnsi="Arial" w:cs="Arial"/>
          <w:b/>
          <w:bCs/>
          <w:shd w:val="clear" w:color="auto" w:fill="FFFFFF"/>
        </w:rPr>
        <w:t xml:space="preserve">3. Klausimas: </w:t>
      </w:r>
      <w:r w:rsidRPr="005E1CC2">
        <w:rPr>
          <w:rFonts w:ascii="Arial" w:hAnsi="Arial" w:cs="Arial"/>
        </w:rPr>
        <w:t>Dėl pristatymo paslaugos</w:t>
      </w:r>
      <w:r w:rsidRPr="005E1CC2">
        <w:rPr>
          <w:rFonts w:ascii="Arial" w:hAnsi="Arial" w:cs="Arial"/>
          <w:spacing w:val="-3"/>
        </w:rPr>
        <w:t xml:space="preserve"> </w:t>
      </w:r>
      <w:r w:rsidRPr="005E1CC2">
        <w:rPr>
          <w:rFonts w:ascii="Arial" w:hAnsi="Arial" w:cs="Arial"/>
        </w:rPr>
        <w:t>apimties</w:t>
      </w:r>
    </w:p>
    <w:p w14:paraId="0C46062A" w14:textId="77777777" w:rsidR="00985BA1" w:rsidRPr="005E1CC2" w:rsidRDefault="00985BA1" w:rsidP="00985BA1">
      <w:pPr>
        <w:pStyle w:val="Pagrindinistekstas"/>
        <w:spacing w:before="200" w:after="0" w:line="276" w:lineRule="auto"/>
        <w:jc w:val="both"/>
        <w:rPr>
          <w:rFonts w:ascii="Arial" w:hAnsi="Arial" w:cs="Arial"/>
        </w:rPr>
      </w:pPr>
      <w:r w:rsidRPr="005E1CC2">
        <w:rPr>
          <w:rFonts w:ascii="Arial" w:hAnsi="Arial" w:cs="Arial"/>
        </w:rPr>
        <w:t>Atsakyme nurodoma, kad į pristatymo kainą turi būti įtrauktos visos įmanomos išlaidos. Tokio pobūdžio formuluotė yra per plati – realūs pristatymo kaštai gali reikšmingai skirtis priklausomai nuo siuntų skaičiaus, svorio ir vietovės.</w:t>
      </w:r>
    </w:p>
    <w:p w14:paraId="75673D37" w14:textId="77777777" w:rsidR="00985BA1" w:rsidRPr="005E1CC2" w:rsidRDefault="00985BA1" w:rsidP="00985BA1">
      <w:pPr>
        <w:pStyle w:val="Pagrindinistekstas"/>
        <w:spacing w:before="200" w:after="0" w:line="276" w:lineRule="auto"/>
        <w:jc w:val="both"/>
        <w:rPr>
          <w:rFonts w:ascii="Arial" w:hAnsi="Arial" w:cs="Arial"/>
        </w:rPr>
      </w:pPr>
      <w:r w:rsidRPr="005E1CC2">
        <w:rPr>
          <w:rFonts w:ascii="Arial" w:hAnsi="Arial" w:cs="Arial"/>
        </w:rPr>
        <w:t>Pagal PĮ 35 straipsnio 1 dalį techninė specifikacija turi būti tiksli ir aiški, kad tiekėjai galėtų pateikti ekonomiškai pagrįstus pasiūlymus. Dabartinė redakcija to neleidžia padaryti.</w:t>
      </w:r>
    </w:p>
    <w:p w14:paraId="14A45D85" w14:textId="77777777" w:rsidR="00985BA1" w:rsidRPr="005E1CC2" w:rsidRDefault="00985BA1" w:rsidP="00985BA1">
      <w:pPr>
        <w:pStyle w:val="prastasiniatinklio"/>
        <w:shd w:val="clear" w:color="auto" w:fill="FFFFFF"/>
        <w:spacing w:before="200" w:after="0" w:line="276" w:lineRule="auto"/>
        <w:jc w:val="both"/>
        <w:rPr>
          <w:rFonts w:ascii="Arial" w:hAnsi="Arial" w:cs="Arial"/>
        </w:rPr>
      </w:pPr>
      <w:r w:rsidRPr="005E1CC2">
        <w:rPr>
          <w:rFonts w:ascii="Arial" w:hAnsi="Arial" w:cs="Arial"/>
        </w:rPr>
        <w:t>Prašome patikslinti, kokios išlaidos turi būti įtrauktos į pristatymo paslaugos įkainį (pvz., pašto mokestis, transporto išlaidos, pakuotė) arba suteikti galimybę tokias išlaidas pateikti atskirai.</w:t>
      </w:r>
    </w:p>
    <w:p w14:paraId="00A47895"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b/>
          <w:bCs/>
          <w:sz w:val="24"/>
          <w:szCs w:val="24"/>
        </w:rPr>
        <w:t>Atsakymas:</w:t>
      </w:r>
      <w:r w:rsidRPr="005E1CC2">
        <w:rPr>
          <w:rFonts w:ascii="Arial" w:hAnsi="Arial" w:cs="Arial"/>
          <w:sz w:val="24"/>
          <w:szCs w:val="24"/>
        </w:rPr>
        <w:t xml:space="preserve"> Tiekėjas nurodo, kad PĮ 35 str. 1 d. nustato, kad techninė specifikacija turi būti tiksli ir aiški, kad tiekėjai galėtų pateikti ekonomiškai pagrįstus pasiūlymus. Pažymėtina, jog minėta teisės norma reglamentuoja, kad Perkantysis subjektas pirkimo dokumentuose gali nustatyti sąlygas, sudarančias galimybę pirkimuose dalyvauti tik tokį statusą turintiems tiekėjams: 3) tiekėjui, kuriame nuteistųjų, atliekančių arešto, terminuoto laisvės atėmimo ir laisvės atėmimo iki gyvos galvos bausmes, dirba daugiau kaip 50 procentų to tiekėjo metinio vidutinio sąrašuose esančių darbuotojų skaičiaus;</w:t>
      </w:r>
      <w:bookmarkStart w:id="0" w:name="part_16a2cd21b5e544428ad2780740740999"/>
      <w:bookmarkEnd w:id="0"/>
      <w:r w:rsidRPr="005E1CC2">
        <w:rPr>
          <w:rFonts w:ascii="Arial" w:hAnsi="Arial" w:cs="Arial"/>
          <w:sz w:val="24"/>
          <w:szCs w:val="24"/>
        </w:rPr>
        <w:t xml:space="preserve"> 4) tiekėjui, kurio dalyviai yra sveikatos priežiūros įstaigos, kuriose darbo terapijos pagrindais dirba ne mažiau kaip 50 procentų pacientų to tiekėjo metinio vidutinio sąrašuose esančių darbuotojų skaičiaus;</w:t>
      </w:r>
      <w:bookmarkStart w:id="1" w:name="part_f7fdafc9217c4bdeb35efc797b1f7ea4"/>
      <w:bookmarkEnd w:id="1"/>
      <w:r w:rsidRPr="005E1CC2">
        <w:rPr>
          <w:rFonts w:ascii="Arial" w:hAnsi="Arial" w:cs="Arial"/>
          <w:sz w:val="24"/>
          <w:szCs w:val="24"/>
        </w:rPr>
        <w:t xml:space="preserve"> 5) tiekėjui, kurio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 Tiekėjas pateikė prašymą, nesusijusį su nurodytu teisiniu reglamentavimu.</w:t>
      </w:r>
    </w:p>
    <w:p w14:paraId="40B2A79F"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sz w:val="24"/>
          <w:szCs w:val="24"/>
        </w:rPr>
        <w:lastRenderedPageBreak/>
        <w:t>Taip pat pažymėtina, kad, atsižvelgiant į Perkančiojo subjekto ilgametę minėto pirkimo vykdymo patirtį, darytina išvada, kad techninė specifikacija yra aiški ir nedviprasmiška, todėl Tiekėjai gali pateikti ekonomiškai pagrįstus pasiūlymus. Pabrėžtina, kad Perkantysis subjektas nenustato, kokiu būdu Tiekėjas turi pristatyti siuntas jų gavėjams, todėl negali išskaidyti pristatymo minėtos paslaugos kainos. Pirkimo dokumentuose yra nurodytos proporcijos, kokia dalis siuntų pristatoma Klaipėdos mieste ir Gargždų mieste, todėl nėra pagrindo teigti, kad Tiekėjas negali nustatyti pristatymo įkainio. Taip pat pažymėtina, kad profesionalus Tiekėjas, vykdantis perkamą paslaugą turi būti pakankamai kompetentingas, kad apskaičiuotų galimas pristatymo išlaidas ir įvertinęs verslo riziką pateiktų ekonominiais skaičiavimais pagrįsto įkainio pasiūlymą.</w:t>
      </w:r>
    </w:p>
    <w:p w14:paraId="20D56125"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sz w:val="24"/>
          <w:szCs w:val="24"/>
        </w:rPr>
        <w:t>Prašymas patikslinti, kokios išlaidos turi būti įtrauktos į pristatymo paslaugos įkainį arba suteikti galimybę tokias išlaidas pateikti atskirai – netenkinamas.</w:t>
      </w:r>
    </w:p>
    <w:p w14:paraId="34FC9A57" w14:textId="77777777" w:rsidR="00985BA1" w:rsidRPr="005E1CC2" w:rsidRDefault="00985BA1" w:rsidP="00985BA1">
      <w:pPr>
        <w:spacing w:before="200" w:after="0" w:line="276" w:lineRule="auto"/>
        <w:jc w:val="both"/>
        <w:rPr>
          <w:rFonts w:ascii="Arial" w:hAnsi="Arial" w:cs="Arial"/>
          <w:sz w:val="24"/>
          <w:szCs w:val="24"/>
        </w:rPr>
      </w:pPr>
    </w:p>
    <w:p w14:paraId="59B9C389" w14:textId="77777777" w:rsidR="00985BA1" w:rsidRPr="005E1CC2" w:rsidRDefault="00985BA1" w:rsidP="00985BA1">
      <w:pPr>
        <w:pStyle w:val="prastasiniatinklio"/>
        <w:shd w:val="clear" w:color="auto" w:fill="FFFFFF"/>
        <w:spacing w:before="200" w:after="0" w:line="276" w:lineRule="auto"/>
        <w:jc w:val="both"/>
        <w:rPr>
          <w:rFonts w:ascii="Arial" w:hAnsi="Arial" w:cs="Arial"/>
        </w:rPr>
      </w:pPr>
      <w:r w:rsidRPr="005E1CC2">
        <w:rPr>
          <w:rFonts w:ascii="Arial" w:hAnsi="Arial" w:cs="Arial"/>
          <w:b/>
          <w:bCs/>
          <w:shd w:val="clear" w:color="auto" w:fill="FFFFFF"/>
        </w:rPr>
        <w:t xml:space="preserve">4. Klausimas: </w:t>
      </w:r>
      <w:r w:rsidRPr="005E1CC2">
        <w:rPr>
          <w:rFonts w:ascii="Arial" w:hAnsi="Arial" w:cs="Arial"/>
        </w:rPr>
        <w:t>Dėl subtiekėjų keitimo</w:t>
      </w:r>
      <w:r w:rsidRPr="005E1CC2">
        <w:rPr>
          <w:rFonts w:ascii="Arial" w:hAnsi="Arial" w:cs="Arial"/>
          <w:spacing w:val="-2"/>
        </w:rPr>
        <w:t xml:space="preserve"> </w:t>
      </w:r>
      <w:r w:rsidRPr="005E1CC2">
        <w:rPr>
          <w:rFonts w:ascii="Arial" w:hAnsi="Arial" w:cs="Arial"/>
        </w:rPr>
        <w:t>tvarkos</w:t>
      </w:r>
    </w:p>
    <w:p w14:paraId="468F46FF" w14:textId="77777777" w:rsidR="00985BA1" w:rsidRPr="005E1CC2" w:rsidRDefault="00985BA1" w:rsidP="00985BA1">
      <w:pPr>
        <w:pStyle w:val="Pagrindinistekstas"/>
        <w:spacing w:before="200" w:after="0" w:line="276" w:lineRule="auto"/>
        <w:jc w:val="both"/>
        <w:rPr>
          <w:rFonts w:ascii="Arial" w:hAnsi="Arial" w:cs="Arial"/>
        </w:rPr>
      </w:pPr>
      <w:r w:rsidRPr="005E1CC2">
        <w:rPr>
          <w:rFonts w:ascii="Arial" w:hAnsi="Arial" w:cs="Arial"/>
        </w:rPr>
        <w:t>Šiuo metu nurodyta, kad subtiekėjo pakeitimui reikalingas išankstinis raštiškas užsakovo sutikimas. Tokia taisyklė, nors formaliai atitinka PĮ 95 straipsnio 1 dalies 11 punktą, praktikoje yra per griežta ir riboja tiekėjo galimybes keisti partnerius, kai paslaugų pobūdis nesikeičia.</w:t>
      </w:r>
    </w:p>
    <w:p w14:paraId="01A37184" w14:textId="77777777" w:rsidR="00985BA1" w:rsidRPr="005E1CC2" w:rsidRDefault="00985BA1" w:rsidP="00985BA1">
      <w:pPr>
        <w:pStyle w:val="Pagrindinistekstas"/>
        <w:spacing w:before="200" w:after="0" w:line="276" w:lineRule="auto"/>
        <w:jc w:val="both"/>
        <w:rPr>
          <w:rFonts w:ascii="Arial" w:hAnsi="Arial" w:cs="Arial"/>
        </w:rPr>
      </w:pPr>
      <w:r w:rsidRPr="005E1CC2">
        <w:rPr>
          <w:rFonts w:ascii="Arial" w:hAnsi="Arial" w:cs="Arial"/>
        </w:rPr>
        <w:t>PĮ 99 straipsnio 1 dalyje numatyta, kad sutarties pakeitimai leidžiami, kai nekeičiama pirkimo esmė. Todėl tokiais atvejais turėtų pakakti pranešimo apie subtiekėjo pasikeitimą, o ne būtinybės gauti išankstinį raštišką sutikimą.</w:t>
      </w:r>
    </w:p>
    <w:p w14:paraId="7646965D" w14:textId="77777777" w:rsidR="00985BA1" w:rsidRPr="005E1CC2" w:rsidRDefault="00985BA1" w:rsidP="00985BA1">
      <w:pPr>
        <w:pStyle w:val="prastasiniatinklio"/>
        <w:shd w:val="clear" w:color="auto" w:fill="FFFFFF"/>
        <w:spacing w:before="200" w:after="0" w:line="276" w:lineRule="auto"/>
        <w:jc w:val="both"/>
        <w:rPr>
          <w:rFonts w:ascii="Arial" w:hAnsi="Arial" w:cs="Arial"/>
        </w:rPr>
      </w:pPr>
      <w:r w:rsidRPr="005E1CC2">
        <w:rPr>
          <w:rFonts w:ascii="Arial" w:hAnsi="Arial" w:cs="Arial"/>
        </w:rPr>
        <w:t>Prašome įvertinti galimybę supaprastinti šią procedūrą, kad keitimai būtų vykdomi racionaliau, bet išlaikant pirkimo esmę.</w:t>
      </w:r>
    </w:p>
    <w:p w14:paraId="0D035D95"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b/>
          <w:bCs/>
          <w:sz w:val="24"/>
          <w:szCs w:val="24"/>
        </w:rPr>
        <w:t>Atsakymas:</w:t>
      </w:r>
      <w:r w:rsidRPr="005E1CC2">
        <w:rPr>
          <w:rFonts w:ascii="Arial" w:hAnsi="Arial" w:cs="Arial"/>
          <w:sz w:val="24"/>
          <w:szCs w:val="24"/>
        </w:rPr>
        <w:t xml:space="preserve"> Tiekėjas nurodo, kad PĮ 99 str. 1 d. reglamentuoja, kad sutarties pakeitimai leidžiami, kai nekeičiama pirkimo esmė. Pažymėtina, kad minėta teisės norma nustato, kad „Perkantysis subjektas Centrinėje viešųjų pirkimų informacinėje sistemoje Viešųjų pirkimų tarnybos nustatyta tvarka skelbia šią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šio įstatymo 62 straipsnio 5 dalį, jeigu pažeidimas įvykdytas dėl tos pirkimo sutarties dalies, kuriai jie buvo pasitelkti: 1) tiekėjo pavadinimas (jeigu tiekėjas yra fizinis asmuo, – vardas ir pavardė), perkančiojo subjekto sprendimo nutraukti pirkimo sutartį dėl esminio pirkimo sutarties pažeidimo, kaip nustatyta Civilinio kodekso 6.217 straipsnyje (toliau – esminis pirkimo sutarties pažeidimas), arba perkančiojo subjekto sprendimo, kad tiekėjas pirkimo sutartyje nustatytą esminę pirkimo sutarties sąlygą vykdė su dideliais arba nuolatiniais trūkumais ir dėl to perkantysis subjektas pritaikė pirkimo sutartyje nustatytą sankciją, priėmimo data ir priežastys, dėl kurių priimtas šis sprendimas; </w:t>
      </w:r>
      <w:bookmarkStart w:id="2" w:name="part_876f4ee987f14472a74ea5f07c9e1037"/>
      <w:bookmarkEnd w:id="2"/>
      <w:r w:rsidRPr="005E1CC2">
        <w:rPr>
          <w:rFonts w:ascii="Arial" w:hAnsi="Arial" w:cs="Arial"/>
          <w:sz w:val="24"/>
          <w:szCs w:val="24"/>
        </w:rPr>
        <w:t xml:space="preserve">2) tiekėjo kreipimosi į teismą, kuriuo ginčijamas perkančiojo subjekto sprendimas nutraukti pirkimo sutartį dėl esminio pirkimo sutarties pažeidimo ar sprendimas, kad tiekėjas pirkimo sutartyje nustatytą esminę pirkimo sutarties sąlygą vykdė su dideliais arba nuolatiniais trūkumais ir dėl to perkantysis subjektas pritaikė pirkimo sutartyje nustatytą </w:t>
      </w:r>
      <w:r w:rsidRPr="005E1CC2">
        <w:rPr>
          <w:rFonts w:ascii="Arial" w:hAnsi="Arial" w:cs="Arial"/>
          <w:sz w:val="24"/>
          <w:szCs w:val="24"/>
        </w:rPr>
        <w:lastRenderedPageBreak/>
        <w:t>sankciją, data;</w:t>
      </w:r>
      <w:bookmarkStart w:id="3" w:name="part_b062d8505c9d4ff2b3347cfad841fbcf"/>
      <w:bookmarkEnd w:id="3"/>
      <w:r w:rsidRPr="005E1CC2">
        <w:rPr>
          <w:rFonts w:ascii="Arial" w:hAnsi="Arial" w:cs="Arial"/>
          <w:sz w:val="24"/>
          <w:szCs w:val="24"/>
        </w:rPr>
        <w:t xml:space="preserve"> 3) galutinio teismo sprendimo, kuriuo nustatoma, kad nėra pagrindo tenkinti tiekėjo reikalavimą, kuriuo  ginčijamas pirkimo sutarties nutraukimas dėl esminio pirkimo sutarties pažeidimo ar perkančiojo subjekto sprendimas, kad tiekėjas pirkimo sutartyje nustatytą esminę pirkimo sutarties sąlygą vykdė su dideliais arba nuolatiniais trūkumais ir dėl to perkantysis subjektas pritaikė pirkimo sutartyje nustatytą sankciją, įsiteisėjimo data ir nuoroda į šį sprendimą;</w:t>
      </w:r>
      <w:bookmarkStart w:id="4" w:name="part_ece5081dd9e14011886aeb7df600cbde"/>
      <w:bookmarkEnd w:id="4"/>
      <w:r w:rsidRPr="005E1CC2">
        <w:rPr>
          <w:rFonts w:ascii="Arial" w:hAnsi="Arial" w:cs="Arial"/>
          <w:sz w:val="24"/>
          <w:szCs w:val="24"/>
        </w:rPr>
        <w:t xml:space="preserve"> 4) teismo sprendimo, kuriuo tenkinamas perkančiojo subjekto reikalavimas atlyginti nuostolius, patirtus dėl to, kad tiekėjas pirkimo sutartyje nustatytą esminę pirkimo sutarties sąlygą vykdė su dideliais arba nuolatiniais trūkumais, įsiteisėjimo data“. Tiekėjo pateiktas klausimas yra nesusijęs su nurodytu teisiniu reglamentavimu.</w:t>
      </w:r>
    </w:p>
    <w:p w14:paraId="5529DC71"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sz w:val="24"/>
          <w:szCs w:val="24"/>
        </w:rPr>
        <w:t>Pažymėtina, jog Tiekėjo teiginys „Tokia taisyklė praktikoje yra per griežta ir riboja tiekėjo galimybes keisti partnerius, kai paslaugų pobūdis nesikeičia“ yra deklaratyvus ir niekuo nepagrįstas. Pažymėtina, kad subtiekėjo keitimas, gavus Perkančiojo subjekto raštišką sutikimą niekaip neapriboja Tiekėjo galimybių efektyviai vykdyti pirkimo sutartį ir įgyvendinti teisę pakeisti subtiekėją. Pabrėžtina, kad Perkantysis subjektas pats nustato subtiekėjų keitimo tvarką ir ją įtvirtina sutartyje. Minėta nuostata yra taikoma visiems potencialiems pirkimo dalyviams, todėl nuostatų pritaikymas vienam potencialiam pirkimo dalyviui, būtų nesuderinamas su pirkimų lygiateisiškumo ir skaidrumo principais.</w:t>
      </w:r>
    </w:p>
    <w:p w14:paraId="41FAC78C"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sz w:val="24"/>
          <w:szCs w:val="24"/>
        </w:rPr>
        <w:t>Prašymas supaprastinti subtiekėjo pakeitimo procedūrą – netenkinamas.</w:t>
      </w:r>
    </w:p>
    <w:p w14:paraId="4CC6204C" w14:textId="77777777" w:rsidR="00985BA1" w:rsidRPr="005E1CC2" w:rsidRDefault="00985BA1" w:rsidP="00985BA1">
      <w:pPr>
        <w:spacing w:before="200" w:after="0" w:line="276" w:lineRule="auto"/>
        <w:jc w:val="both"/>
        <w:rPr>
          <w:rFonts w:ascii="Arial" w:hAnsi="Arial" w:cs="Arial"/>
          <w:sz w:val="24"/>
          <w:szCs w:val="24"/>
        </w:rPr>
      </w:pPr>
    </w:p>
    <w:p w14:paraId="67D1E6AA" w14:textId="77777777" w:rsidR="00985BA1" w:rsidRPr="005E1CC2" w:rsidRDefault="00985BA1" w:rsidP="00985BA1">
      <w:pPr>
        <w:pStyle w:val="prastasiniatinklio"/>
        <w:shd w:val="clear" w:color="auto" w:fill="FFFFFF"/>
        <w:spacing w:before="200" w:after="0" w:line="276" w:lineRule="auto"/>
        <w:jc w:val="both"/>
        <w:rPr>
          <w:rFonts w:ascii="Arial" w:hAnsi="Arial" w:cs="Arial"/>
        </w:rPr>
      </w:pPr>
      <w:r w:rsidRPr="005E1CC2">
        <w:rPr>
          <w:rFonts w:ascii="Arial" w:hAnsi="Arial" w:cs="Arial"/>
          <w:b/>
          <w:bCs/>
          <w:shd w:val="clear" w:color="auto" w:fill="FFFFFF"/>
        </w:rPr>
        <w:t xml:space="preserve">5. Klausimas: </w:t>
      </w:r>
      <w:r w:rsidRPr="005E1CC2">
        <w:rPr>
          <w:rFonts w:ascii="Arial" w:hAnsi="Arial" w:cs="Arial"/>
        </w:rPr>
        <w:t>Dėl kvalifikacijos įrodymų pobūdžio ir informacijos</w:t>
      </w:r>
      <w:r w:rsidRPr="005E1CC2">
        <w:rPr>
          <w:rFonts w:ascii="Arial" w:hAnsi="Arial" w:cs="Arial"/>
          <w:spacing w:val="-14"/>
        </w:rPr>
        <w:t xml:space="preserve"> </w:t>
      </w:r>
      <w:r w:rsidRPr="005E1CC2">
        <w:rPr>
          <w:rFonts w:ascii="Arial" w:hAnsi="Arial" w:cs="Arial"/>
        </w:rPr>
        <w:t>asimetrijos</w:t>
      </w:r>
    </w:p>
    <w:p w14:paraId="3DBB33B8" w14:textId="38358F48" w:rsidR="00985BA1" w:rsidRPr="005E1CC2" w:rsidRDefault="00985BA1" w:rsidP="00985BA1">
      <w:pPr>
        <w:pStyle w:val="Pagrindinistekstas"/>
        <w:spacing w:before="200" w:after="0" w:line="276" w:lineRule="auto"/>
        <w:jc w:val="both"/>
        <w:rPr>
          <w:rFonts w:ascii="Arial" w:hAnsi="Arial" w:cs="Arial"/>
        </w:rPr>
      </w:pPr>
      <w:r w:rsidRPr="005E1CC2">
        <w:rPr>
          <w:rFonts w:ascii="Arial" w:hAnsi="Arial" w:cs="Arial"/>
        </w:rPr>
        <w:t>Pirkėjas atsakyme nurodė neteisingą nuostatą (VPĮ 46 str. 3 d.), kuri nesusijusi su kvalifikacijos įrodymu. Pagal PĮ 65 straipsnio 1 dalį tiekėjas gali patvirtinti atitiktį</w:t>
      </w:r>
      <w:r w:rsidR="00F646A4">
        <w:rPr>
          <w:rFonts w:ascii="Arial" w:hAnsi="Arial" w:cs="Arial"/>
        </w:rPr>
        <w:t xml:space="preserve"> </w:t>
      </w:r>
      <w:r w:rsidRPr="005E1CC2">
        <w:rPr>
          <w:rFonts w:ascii="Arial" w:hAnsi="Arial" w:cs="Arial"/>
        </w:rPr>
        <w:t>kvalifikaciniams reikalavimams laisvos formos pažyma ar deklaracija, nebent perkantysis subjektas pagrįstai prašo kitų dokumentų.</w:t>
      </w:r>
    </w:p>
    <w:p w14:paraId="51BBEFC9" w14:textId="77777777" w:rsidR="00985BA1" w:rsidRPr="005E1CC2" w:rsidRDefault="00985BA1" w:rsidP="00985BA1">
      <w:pPr>
        <w:pStyle w:val="Pagrindinistekstas"/>
        <w:spacing w:before="200" w:after="0" w:line="276" w:lineRule="auto"/>
        <w:jc w:val="both"/>
        <w:rPr>
          <w:rFonts w:ascii="Arial" w:hAnsi="Arial" w:cs="Arial"/>
        </w:rPr>
      </w:pPr>
      <w:r w:rsidRPr="005E1CC2">
        <w:rPr>
          <w:rFonts w:ascii="Arial" w:hAnsi="Arial" w:cs="Arial"/>
        </w:rPr>
        <w:t>Jeigu reikalaujama sutarčių kopijų ar užsakovų rekomendacijų, toks reikalavimas tampa perteklinis ir gali riboti konkurenciją, nes prieštarauja PĮ 29 straipsnyje nustatytam proporcingumo principui.</w:t>
      </w:r>
    </w:p>
    <w:p w14:paraId="31EAD8F9" w14:textId="77777777" w:rsidR="00985BA1" w:rsidRPr="005E1CC2" w:rsidRDefault="00985BA1" w:rsidP="00985BA1">
      <w:pPr>
        <w:pStyle w:val="Pagrindinistekstas"/>
        <w:spacing w:before="200" w:after="0" w:line="276" w:lineRule="auto"/>
        <w:jc w:val="both"/>
        <w:rPr>
          <w:rFonts w:ascii="Arial" w:hAnsi="Arial" w:cs="Arial"/>
        </w:rPr>
      </w:pPr>
      <w:r w:rsidRPr="005E1CC2">
        <w:rPr>
          <w:rFonts w:ascii="Arial" w:hAnsi="Arial" w:cs="Arial"/>
        </w:rPr>
        <w:t>Be to, pirkimo dokumentuose nenurodyta, kiek siuntų planuojama pristatyti pagal Lietuvos pašto zonas (I – miestai, II – regionai, III – kaimo vietovės). Neturint šių duomenų, tiekėjams sudėtinga apskaičiuoti pristatymo sąnaudas ir parengti ekonomiškai pagrįstą pasiūlymą.</w:t>
      </w:r>
    </w:p>
    <w:p w14:paraId="199291F7" w14:textId="77777777" w:rsidR="00985BA1" w:rsidRPr="005E1CC2" w:rsidRDefault="00985BA1" w:rsidP="00985BA1">
      <w:pPr>
        <w:pStyle w:val="Pagrindinistekstas"/>
        <w:spacing w:before="200" w:after="0" w:line="276" w:lineRule="auto"/>
        <w:jc w:val="both"/>
        <w:rPr>
          <w:rFonts w:ascii="Arial" w:hAnsi="Arial" w:cs="Arial"/>
        </w:rPr>
      </w:pPr>
      <w:r w:rsidRPr="005E1CC2">
        <w:rPr>
          <w:rFonts w:ascii="Arial" w:hAnsi="Arial" w:cs="Arial"/>
        </w:rPr>
        <w:t>Tokios informacijos iš ankstesnių metų turi tik buvęs paslaugų teikėjas, todėl susidaro informacijos asimetrija, suteikianti jam pranašumą kitų tiekėjų atžvilgiu. Tai prieštarauja PĮ 29 straipsnyje įtvirtintiems skaidrumo, proporcingumo ir lygiateisiškumo principams.</w:t>
      </w:r>
    </w:p>
    <w:p w14:paraId="26F66B7A" w14:textId="77777777" w:rsidR="00985BA1" w:rsidRPr="005E1CC2" w:rsidRDefault="00985BA1" w:rsidP="00985BA1">
      <w:pPr>
        <w:pStyle w:val="Pagrindinistekstas"/>
        <w:spacing w:before="200" w:after="0" w:line="276" w:lineRule="auto"/>
        <w:jc w:val="both"/>
        <w:rPr>
          <w:rFonts w:ascii="Arial" w:hAnsi="Arial" w:cs="Arial"/>
        </w:rPr>
      </w:pPr>
      <w:r w:rsidRPr="005E1CC2">
        <w:rPr>
          <w:rFonts w:ascii="Arial" w:hAnsi="Arial" w:cs="Arial"/>
        </w:rPr>
        <w:t>Prašome: numatyti galimybę tiekėjams pateikti kvalifikaciją pagrindžiančią pažymą arba deklaraciją be būtinybės teikti sutarčių kopijas, išskyrus atvejus, kai kyla pagrįstų abejonių</w:t>
      </w:r>
      <w:r w:rsidRPr="005E1CC2">
        <w:rPr>
          <w:rFonts w:ascii="Arial" w:hAnsi="Arial" w:cs="Arial"/>
          <w:spacing w:val="-14"/>
        </w:rPr>
        <w:t xml:space="preserve"> </w:t>
      </w:r>
      <w:r w:rsidRPr="005E1CC2">
        <w:rPr>
          <w:rFonts w:ascii="Arial" w:hAnsi="Arial" w:cs="Arial"/>
        </w:rPr>
        <w:t>dėl pajėgumo; pateikti</w:t>
      </w:r>
      <w:r w:rsidRPr="005E1CC2">
        <w:rPr>
          <w:rFonts w:ascii="Arial" w:hAnsi="Arial" w:cs="Arial"/>
          <w:spacing w:val="-4"/>
        </w:rPr>
        <w:t xml:space="preserve"> </w:t>
      </w:r>
      <w:r w:rsidRPr="005E1CC2">
        <w:rPr>
          <w:rFonts w:ascii="Arial" w:hAnsi="Arial" w:cs="Arial"/>
        </w:rPr>
        <w:t>bent</w:t>
      </w:r>
      <w:r w:rsidRPr="005E1CC2">
        <w:rPr>
          <w:rFonts w:ascii="Arial" w:hAnsi="Arial" w:cs="Arial"/>
          <w:spacing w:val="-6"/>
        </w:rPr>
        <w:t xml:space="preserve"> </w:t>
      </w:r>
      <w:r w:rsidRPr="005E1CC2">
        <w:rPr>
          <w:rFonts w:ascii="Arial" w:hAnsi="Arial" w:cs="Arial"/>
        </w:rPr>
        <w:t>apytikslį</w:t>
      </w:r>
      <w:r w:rsidRPr="005E1CC2">
        <w:rPr>
          <w:rFonts w:ascii="Arial" w:hAnsi="Arial" w:cs="Arial"/>
          <w:spacing w:val="-6"/>
        </w:rPr>
        <w:t xml:space="preserve"> </w:t>
      </w:r>
      <w:r w:rsidRPr="005E1CC2">
        <w:rPr>
          <w:rFonts w:ascii="Arial" w:hAnsi="Arial" w:cs="Arial"/>
        </w:rPr>
        <w:t>siuntų</w:t>
      </w:r>
      <w:r w:rsidRPr="005E1CC2">
        <w:rPr>
          <w:rFonts w:ascii="Arial" w:hAnsi="Arial" w:cs="Arial"/>
          <w:spacing w:val="-5"/>
        </w:rPr>
        <w:t xml:space="preserve"> </w:t>
      </w:r>
      <w:r w:rsidRPr="005E1CC2">
        <w:rPr>
          <w:rFonts w:ascii="Arial" w:hAnsi="Arial" w:cs="Arial"/>
        </w:rPr>
        <w:t>skaičiaus</w:t>
      </w:r>
      <w:r w:rsidRPr="005E1CC2">
        <w:rPr>
          <w:rFonts w:ascii="Arial" w:hAnsi="Arial" w:cs="Arial"/>
          <w:spacing w:val="-4"/>
        </w:rPr>
        <w:t xml:space="preserve"> </w:t>
      </w:r>
      <w:r w:rsidRPr="005E1CC2">
        <w:rPr>
          <w:rFonts w:ascii="Arial" w:hAnsi="Arial" w:cs="Arial"/>
        </w:rPr>
        <w:t>pasiskirstymą</w:t>
      </w:r>
      <w:r w:rsidRPr="005E1CC2">
        <w:rPr>
          <w:rFonts w:ascii="Arial" w:hAnsi="Arial" w:cs="Arial"/>
          <w:spacing w:val="-4"/>
        </w:rPr>
        <w:t xml:space="preserve"> </w:t>
      </w:r>
      <w:r w:rsidRPr="005E1CC2">
        <w:rPr>
          <w:rFonts w:ascii="Arial" w:hAnsi="Arial" w:cs="Arial"/>
        </w:rPr>
        <w:t>pagal</w:t>
      </w:r>
      <w:r w:rsidRPr="005E1CC2">
        <w:rPr>
          <w:rFonts w:ascii="Arial" w:hAnsi="Arial" w:cs="Arial"/>
          <w:spacing w:val="-5"/>
        </w:rPr>
        <w:t xml:space="preserve"> </w:t>
      </w:r>
      <w:r w:rsidRPr="005E1CC2">
        <w:rPr>
          <w:rFonts w:ascii="Arial" w:hAnsi="Arial" w:cs="Arial"/>
        </w:rPr>
        <w:t>pristatymo</w:t>
      </w:r>
      <w:r w:rsidRPr="005E1CC2">
        <w:rPr>
          <w:rFonts w:ascii="Arial" w:hAnsi="Arial" w:cs="Arial"/>
          <w:spacing w:val="-4"/>
        </w:rPr>
        <w:t xml:space="preserve"> </w:t>
      </w:r>
      <w:r w:rsidRPr="005E1CC2">
        <w:rPr>
          <w:rFonts w:ascii="Arial" w:hAnsi="Arial" w:cs="Arial"/>
        </w:rPr>
        <w:t>zonas,</w:t>
      </w:r>
      <w:r w:rsidRPr="005E1CC2">
        <w:rPr>
          <w:rFonts w:ascii="Arial" w:hAnsi="Arial" w:cs="Arial"/>
          <w:spacing w:val="-5"/>
        </w:rPr>
        <w:t xml:space="preserve"> </w:t>
      </w:r>
      <w:r w:rsidRPr="005E1CC2">
        <w:rPr>
          <w:rFonts w:ascii="Arial" w:hAnsi="Arial" w:cs="Arial"/>
        </w:rPr>
        <w:t>kad</w:t>
      </w:r>
      <w:r w:rsidRPr="005E1CC2">
        <w:rPr>
          <w:rFonts w:ascii="Arial" w:hAnsi="Arial" w:cs="Arial"/>
          <w:spacing w:val="-5"/>
        </w:rPr>
        <w:t xml:space="preserve"> </w:t>
      </w:r>
      <w:r w:rsidRPr="005E1CC2">
        <w:rPr>
          <w:rFonts w:ascii="Arial" w:hAnsi="Arial" w:cs="Arial"/>
        </w:rPr>
        <w:t>visiems dalyviams būtų sudarytos vienodos sąlygos parengti ekonomiškai pagrįstus</w:t>
      </w:r>
      <w:r w:rsidRPr="005E1CC2">
        <w:rPr>
          <w:rFonts w:ascii="Arial" w:hAnsi="Arial" w:cs="Arial"/>
          <w:spacing w:val="-17"/>
        </w:rPr>
        <w:t xml:space="preserve"> </w:t>
      </w:r>
      <w:r w:rsidRPr="005E1CC2">
        <w:rPr>
          <w:rFonts w:ascii="Arial" w:hAnsi="Arial" w:cs="Arial"/>
        </w:rPr>
        <w:t>pasiūlymus.</w:t>
      </w:r>
    </w:p>
    <w:p w14:paraId="5685EA61"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b/>
          <w:bCs/>
          <w:sz w:val="24"/>
          <w:szCs w:val="24"/>
        </w:rPr>
        <w:lastRenderedPageBreak/>
        <w:t>Atsakymas:</w:t>
      </w:r>
      <w:r w:rsidRPr="005E1CC2">
        <w:rPr>
          <w:rFonts w:ascii="Arial" w:hAnsi="Arial" w:cs="Arial"/>
          <w:sz w:val="24"/>
          <w:szCs w:val="24"/>
        </w:rPr>
        <w:t xml:space="preserve"> Tiekėjas nurodo, jog PĮ 65 str. 1 dalis nustato, kad tiekėjas gali patvirtinti atitiktį kvalifikaciniams reikalavimams laisvos formos pažyma ar deklaracija, nebent perkantysis subjektas pagrįstai prašo kitų dokumentų. Minėta teisės norma reglamentuoja: „1. Gyvavimo ciklo sąnaudos apima prekių, paslaugų ar darbų gyvavimo laikotarpiu patiriamas visas šias išlaidas ar jų dalį:</w:t>
      </w:r>
      <w:bookmarkStart w:id="5" w:name="part_87fe68be095540cb983f116ba135fb1e"/>
      <w:bookmarkEnd w:id="5"/>
      <w:r w:rsidRPr="005E1CC2">
        <w:rPr>
          <w:rFonts w:ascii="Arial" w:hAnsi="Arial" w:cs="Arial"/>
          <w:sz w:val="24"/>
          <w:szCs w:val="24"/>
        </w:rPr>
        <w:t xml:space="preserve"> 1) perkančiojo subjekto ar kitų naudotojų patiriamas išlaidas:</w:t>
      </w:r>
      <w:bookmarkStart w:id="6" w:name="part_61c4ff9ecbe64cd69e29e49876957884"/>
      <w:bookmarkEnd w:id="6"/>
      <w:r w:rsidRPr="005E1CC2">
        <w:rPr>
          <w:rFonts w:ascii="Arial" w:hAnsi="Arial" w:cs="Arial"/>
          <w:sz w:val="24"/>
          <w:szCs w:val="24"/>
        </w:rPr>
        <w:t xml:space="preserve"> a) su įsigijimu susijusias išlaidas, įskaitant kainą;</w:t>
      </w:r>
      <w:bookmarkStart w:id="7" w:name="part_0af3c85188824c7f9fc6772743a530c7"/>
      <w:bookmarkEnd w:id="7"/>
      <w:r w:rsidRPr="005E1CC2">
        <w:rPr>
          <w:rFonts w:ascii="Arial" w:hAnsi="Arial" w:cs="Arial"/>
          <w:sz w:val="24"/>
          <w:szCs w:val="24"/>
        </w:rPr>
        <w:t xml:space="preserve"> b) naudojimo išlaidas, pavyzdžiui, energijos ar kitų išteklių suvartojimo išlaidas;</w:t>
      </w:r>
      <w:bookmarkStart w:id="8" w:name="part_710f3d83bef743eeb800d6531b3a4e9a"/>
      <w:bookmarkEnd w:id="8"/>
      <w:r w:rsidRPr="005E1CC2">
        <w:rPr>
          <w:rFonts w:ascii="Arial" w:hAnsi="Arial" w:cs="Arial"/>
          <w:sz w:val="24"/>
          <w:szCs w:val="24"/>
        </w:rPr>
        <w:t xml:space="preserve"> c) eksploatavimo išlaidas;</w:t>
      </w:r>
      <w:bookmarkStart w:id="9" w:name="part_f016c919ecbb40b7963ce0b80efc3e43"/>
      <w:bookmarkEnd w:id="9"/>
      <w:r w:rsidRPr="005E1CC2">
        <w:rPr>
          <w:rFonts w:ascii="Arial" w:hAnsi="Arial" w:cs="Arial"/>
          <w:sz w:val="24"/>
          <w:szCs w:val="24"/>
        </w:rPr>
        <w:t xml:space="preserve"> d) gyvavimo ciklo pabaigos išlaidas, pavyzdžiui, atliekų surinkimo, perdirbimo išlaidas;</w:t>
      </w:r>
      <w:bookmarkStart w:id="10" w:name="part_559b1e59a62145e29c5d0a9ab4563d20"/>
      <w:bookmarkEnd w:id="10"/>
      <w:r w:rsidRPr="005E1CC2">
        <w:rPr>
          <w:rFonts w:ascii="Arial" w:hAnsi="Arial" w:cs="Arial"/>
          <w:sz w:val="24"/>
          <w:szCs w:val="24"/>
        </w:rPr>
        <w:t xml:space="preserve"> 2) išlaidas, susijusias su prekių, paslaugų ar darbų gyvavimo laikotarpiu sukeliamais išoriniais aplinkos veiksniais, jeigu įmanoma nustatyti ir patikrinti tokių išlaidų piniginę vertę. Tokios išlaidos gali būti susijusios su šiltnamio efektą sukeliančių išmetamųjų dujų ar kitų išmetamųjų teršalų kiekio mažinimu, klimato kaitos mažinimu“. Tiekėjo pateiktas prašymas yra nesusijęs su nurodytu teisiniu reglamentavimu.</w:t>
      </w:r>
    </w:p>
    <w:p w14:paraId="6A7D7AE1"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sz w:val="24"/>
          <w:szCs w:val="24"/>
        </w:rPr>
        <w:t>Tiekėjas nurodo, kad „tiekėjas gali patvirtinti atitiktį kvalifikaciniams reikalavimams laisvos formos pažyma ar deklaracija, nebent perkantysis subjektas pagrįstai prašo kitų dokumentų“. Pažymėtina, kad toks reikalavimas yra įtvirtintas PĮ 58 str., kuris šiuo aspektu reglamentuoja, kad „4</w:t>
      </w:r>
      <w:r w:rsidRPr="005E1CC2">
        <w:rPr>
          <w:rFonts w:ascii="Arial" w:hAnsi="Arial" w:cs="Arial"/>
          <w:sz w:val="24"/>
          <w:szCs w:val="24"/>
          <w:vertAlign w:val="superscript"/>
        </w:rPr>
        <w:t>2</w:t>
      </w:r>
      <w:r w:rsidRPr="005E1CC2">
        <w:rPr>
          <w:rFonts w:ascii="Arial" w:hAnsi="Arial" w:cs="Arial"/>
          <w:sz w:val="24"/>
          <w:szCs w:val="24"/>
        </w:rPr>
        <w:t>. Perkantysis subjektas, tikrindamas paraiškos ar pasiūlymo atitiktį šio straipsnio 4</w:t>
      </w:r>
      <w:r w:rsidRPr="005E1CC2">
        <w:rPr>
          <w:rFonts w:ascii="Arial" w:hAnsi="Arial" w:cs="Arial"/>
          <w:sz w:val="24"/>
          <w:szCs w:val="24"/>
          <w:vertAlign w:val="superscript"/>
        </w:rPr>
        <w:t>1</w:t>
      </w:r>
      <w:r w:rsidRPr="005E1CC2">
        <w:rPr>
          <w:rFonts w:ascii="Arial" w:hAnsi="Arial" w:cs="Arial"/>
          <w:sz w:val="24"/>
          <w:szCs w:val="24"/>
        </w:rPr>
        <w:t> dalies 1, 2, 3 ir 6 punktuose nurodytiems reikalavimams, iš tiekėjo reikalauja pateikti laisvos formos atitikties deklaraciją. Jeigu perkančiajam subjektui kyla abejonių dėl tiekėjo nurodytos informacijos, įrodančios šio straipsnio 4</w:t>
      </w:r>
      <w:r w:rsidRPr="005E1CC2">
        <w:rPr>
          <w:rFonts w:ascii="Arial" w:hAnsi="Arial" w:cs="Arial"/>
          <w:sz w:val="24"/>
          <w:szCs w:val="24"/>
          <w:vertAlign w:val="superscript"/>
        </w:rPr>
        <w:t>1</w:t>
      </w:r>
      <w:r w:rsidRPr="005E1CC2">
        <w:rPr>
          <w:rFonts w:ascii="Arial" w:hAnsi="Arial" w:cs="Arial"/>
          <w:sz w:val="24"/>
          <w:szCs w:val="24"/>
        </w:rPr>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 4</w:t>
      </w:r>
      <w:r w:rsidRPr="005E1CC2">
        <w:rPr>
          <w:rFonts w:ascii="Arial" w:hAnsi="Arial" w:cs="Arial"/>
          <w:sz w:val="24"/>
          <w:szCs w:val="24"/>
          <w:vertAlign w:val="superscript"/>
        </w:rPr>
        <w:t>1</w:t>
      </w:r>
      <w:r w:rsidRPr="005E1CC2">
        <w:rPr>
          <w:rFonts w:ascii="Arial" w:hAnsi="Arial" w:cs="Arial"/>
          <w:sz w:val="24"/>
          <w:szCs w:val="24"/>
        </w:rPr>
        <w:t> dalies 1, 2, 3 ir 6 punktuose nurodyta: „4</w:t>
      </w:r>
      <w:r w:rsidRPr="005E1CC2">
        <w:rPr>
          <w:rFonts w:ascii="Arial" w:hAnsi="Arial" w:cs="Arial"/>
          <w:sz w:val="24"/>
          <w:szCs w:val="24"/>
          <w:vertAlign w:val="superscript"/>
        </w:rPr>
        <w:t>1</w:t>
      </w:r>
      <w:r w:rsidRPr="005E1CC2">
        <w:rPr>
          <w:rFonts w:ascii="Arial" w:hAnsi="Arial" w:cs="Arial"/>
          <w:sz w:val="24"/>
          <w:szCs w:val="24"/>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gali atmesti paraišką ar pasiūlymą, jeigu yra bent viena iš šių perkančiojo subjekto pasirinktų sąlygų ar sąlygos dalių:</w:t>
      </w:r>
      <w:bookmarkStart w:id="11" w:name="part_76c76663d202465b9907d81a42dc5779"/>
      <w:bookmarkEnd w:id="11"/>
      <w:r w:rsidRPr="005E1CC2">
        <w:rPr>
          <w:rFonts w:ascii="Arial" w:hAnsi="Arial" w:cs="Arial"/>
          <w:sz w:val="24"/>
          <w:szCs w:val="24"/>
        </w:rPr>
        <w:t xml:space="preserve"> 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bookmarkStart w:id="12" w:name="part_b6091b7a41d444d587bd962fa869e468"/>
      <w:bookmarkEnd w:id="12"/>
      <w:r w:rsidRPr="005E1CC2">
        <w:rPr>
          <w:rFonts w:ascii="Arial" w:hAnsi="Arial" w:cs="Arial"/>
          <w:sz w:val="24"/>
          <w:szCs w:val="24"/>
        </w:rPr>
        <w:t xml:space="preserve"> 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bookmarkStart w:id="13" w:name="part_1cd4193bdf5d4f9a9ab9cda1463c0231"/>
      <w:bookmarkEnd w:id="13"/>
      <w:r w:rsidRPr="005E1CC2">
        <w:rPr>
          <w:rFonts w:ascii="Arial" w:hAnsi="Arial" w:cs="Arial"/>
          <w:sz w:val="24"/>
          <w:szCs w:val="24"/>
        </w:rPr>
        <w:t xml:space="preserve"> 3) prekių (įskaitant jų sudedamąsias dalis, pakuotes) kilmė yra ar paslaugos teikiamos iš Viešųjų pirkimų įstatymo 92 straipsnio 15 dalyje numatytame sąraše nurodytų valstybių ar teritorijų; 6)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w:t>
      </w:r>
      <w:r w:rsidRPr="005E1CC2">
        <w:rPr>
          <w:rFonts w:ascii="Arial" w:hAnsi="Arial" w:cs="Arial"/>
          <w:sz w:val="24"/>
          <w:szCs w:val="24"/>
        </w:rPr>
        <w:lastRenderedPageBreak/>
        <w:t>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Tiekėjas klaidingai interpretuoja minėtą teisės normą, kadangi bando susieti iš mobilizacijos, karo, nepaprastosios padėties reikalavimų kylančius kvalifikacinius reikalavimus su gebėjimą įvykdyti sutartį lemiančiais kvalifikaciniais reikalavimais.</w:t>
      </w:r>
    </w:p>
    <w:p w14:paraId="6ADFFC4D"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sz w:val="24"/>
          <w:szCs w:val="24"/>
        </w:rPr>
        <w:t>Tiekėjui paaiškintina, kad apie savo gebėjimą įgyvendinti sutartį jis deklaruoja Perkančiajam subjektui pateikdamas užpildytą Europos bendrąjį viešųjų pirkimų dokumentą EBVPD. Perkantysis subjektas tik iš ekonomiškai naudingiausią pasiūlymą pateikusio Tiekėjo prašo pateikti dokumente nurodytus duomenis įrodančius dokumentus. Įstatymas nenustato pareigos Perkančiajam subjektui reikalauti „laisvos formos“ deklaracijos, pagrindžiant savo gebėjimą įgyvendinti pirkimo objektą.</w:t>
      </w:r>
    </w:p>
    <w:p w14:paraId="2DDF0BC3"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sz w:val="24"/>
          <w:szCs w:val="24"/>
        </w:rPr>
        <w:t xml:space="preserve">Tiekėjas klaidingai nurodo, kad „pirkimo dokumentuose nenurodyta, kiek siuntų planuojama pristatyti pagal Lietuvos pašto zonas (I – miestai, II – regionai, III – kaimo vietovės)“. Pažymėtina, kad pirkimo specialiųjų sąlygų 2.6 punktas nustato: „Paslaugų teikimo vieta: Klaipėdos mieste apie 93 % pristatomų dokumentų, Gargždų mieste apie 6 % pristatomų dokumentų, kitoje Lietuvos teritorijoje iki 1 % pristatomų dokumentų“. Tuo tarpu, pirkimo specialiųjų sąlygų 2.3 punktas, be kita ko, nustato, kad „Planuojamos preliminarios apimtys: sąskaitos lapo dvipusis spausdinimas, vokavimas į C5 voką – 415 000 vnt., papildomi vienpusiai lapai, dedami į voką – 600 vnt., sąskaitos pristatymas iki 20 g – 415 000 vnt. per sutarties laikotarpį“. </w:t>
      </w:r>
    </w:p>
    <w:p w14:paraId="60D2FFFE"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sz w:val="24"/>
          <w:szCs w:val="24"/>
        </w:rPr>
        <w:t>Atsižvelgiant į minėtas faktines aplinkybes, negalima daryti išvados, kad pažeidžiami skaidrumo, proporcingumo ir lygiateisiškumo principai, kadangi Perkantysis subjektas pirkimo dokumentuose pateikė ir preliminarų siuntų kiekį ir procentinį išskirstymą zonomis.</w:t>
      </w:r>
    </w:p>
    <w:p w14:paraId="19B3B068" w14:textId="77777777" w:rsidR="00985BA1" w:rsidRPr="005E1CC2" w:rsidRDefault="00985BA1" w:rsidP="00985BA1">
      <w:pPr>
        <w:spacing w:before="200" w:after="0" w:line="276" w:lineRule="auto"/>
        <w:jc w:val="both"/>
        <w:rPr>
          <w:rFonts w:ascii="Arial" w:hAnsi="Arial" w:cs="Arial"/>
          <w:sz w:val="24"/>
          <w:szCs w:val="24"/>
        </w:rPr>
      </w:pPr>
      <w:r w:rsidRPr="005E1CC2">
        <w:rPr>
          <w:rFonts w:ascii="Arial" w:hAnsi="Arial" w:cs="Arial"/>
          <w:sz w:val="24"/>
          <w:szCs w:val="24"/>
        </w:rPr>
        <w:t>Atsižvelgiant į aukščiau išdėstytas faktines aplinkybes, vadovaujantis teisiniu reglamentavimu ir pirkimo dokumentais, Tiekėjo prašymas numatyti galimybę tiekėjams pateikti kvalifikaciją pagrindžiančią pažymą arba deklaraciją be būtinybės teikti sutarčių kopijas, išskyrus atvejus, kai kyla pagrįstų abejonių dėl pajėgumo – netenkinamas.</w:t>
      </w:r>
    </w:p>
    <w:p w14:paraId="06F9BA9A" w14:textId="2A2E74E2" w:rsidR="00E1183C" w:rsidRPr="00985BA1" w:rsidRDefault="00985BA1" w:rsidP="00985BA1">
      <w:pPr>
        <w:spacing w:before="200" w:after="0" w:line="276" w:lineRule="auto"/>
        <w:jc w:val="both"/>
        <w:rPr>
          <w:rFonts w:ascii="Arial" w:hAnsi="Arial" w:cs="Arial"/>
          <w:sz w:val="24"/>
          <w:szCs w:val="24"/>
        </w:rPr>
      </w:pPr>
      <w:r w:rsidRPr="005E1CC2">
        <w:rPr>
          <w:rFonts w:ascii="Arial" w:hAnsi="Arial" w:cs="Arial"/>
          <w:sz w:val="24"/>
          <w:szCs w:val="24"/>
        </w:rPr>
        <w:t>Pažymėtina, kad prašymas pateikti bent apytikslį siuntų skaičiaus pasiskirstymą pagal pristatymo zonas, kad visiems dalyviams būtų sudarytos vienodos sąlygos parengti ekonomiškai pagrįstus pasiūlymus yra įgyvendintas pirkimo dokumentuose.</w:t>
      </w:r>
    </w:p>
    <w:sectPr w:rsidR="00E1183C" w:rsidRPr="00985BA1" w:rsidSect="008B1C7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9FD"/>
    <w:multiLevelType w:val="hybridMultilevel"/>
    <w:tmpl w:val="04429D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D2ABF"/>
    <w:multiLevelType w:val="hybridMultilevel"/>
    <w:tmpl w:val="534C1964"/>
    <w:lvl w:ilvl="0" w:tplc="0700E66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F3198A"/>
    <w:multiLevelType w:val="hybridMultilevel"/>
    <w:tmpl w:val="D02CCEC6"/>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F83830"/>
    <w:multiLevelType w:val="hybridMultilevel"/>
    <w:tmpl w:val="89BC5C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201B10"/>
    <w:multiLevelType w:val="hybridMultilevel"/>
    <w:tmpl w:val="E3BC3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283BDE"/>
    <w:multiLevelType w:val="hybridMultilevel"/>
    <w:tmpl w:val="B282A1E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774845"/>
    <w:multiLevelType w:val="hybridMultilevel"/>
    <w:tmpl w:val="7B282A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3590A65"/>
    <w:multiLevelType w:val="hybridMultilevel"/>
    <w:tmpl w:val="50A8A32A"/>
    <w:lvl w:ilvl="0" w:tplc="1BE0DFBA">
      <w:start w:val="1"/>
      <w:numFmt w:val="decimal"/>
      <w:lvlText w:val="%1."/>
      <w:lvlJc w:val="left"/>
      <w:pPr>
        <w:ind w:left="720" w:hanging="360"/>
      </w:pPr>
      <w:rPr>
        <w:b/>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3318371">
    <w:abstractNumId w:val="9"/>
  </w:num>
  <w:num w:numId="2" w16cid:durableId="622538586">
    <w:abstractNumId w:val="7"/>
  </w:num>
  <w:num w:numId="3" w16cid:durableId="1925525438">
    <w:abstractNumId w:val="5"/>
  </w:num>
  <w:num w:numId="4" w16cid:durableId="2100177487">
    <w:abstractNumId w:val="2"/>
  </w:num>
  <w:num w:numId="5" w16cid:durableId="252129893">
    <w:abstractNumId w:val="0"/>
  </w:num>
  <w:num w:numId="6" w16cid:durableId="270015287">
    <w:abstractNumId w:val="4"/>
  </w:num>
  <w:num w:numId="7" w16cid:durableId="1053850969">
    <w:abstractNumId w:val="1"/>
  </w:num>
  <w:num w:numId="8" w16cid:durableId="19801081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112600">
    <w:abstractNumId w:val="3"/>
  </w:num>
  <w:num w:numId="10" w16cid:durableId="1013528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EF"/>
    <w:rsid w:val="00017065"/>
    <w:rsid w:val="00043587"/>
    <w:rsid w:val="00067A1F"/>
    <w:rsid w:val="000E2F4F"/>
    <w:rsid w:val="00106085"/>
    <w:rsid w:val="001422D9"/>
    <w:rsid w:val="002122E3"/>
    <w:rsid w:val="00284840"/>
    <w:rsid w:val="002C125A"/>
    <w:rsid w:val="002D0BFD"/>
    <w:rsid w:val="002F5205"/>
    <w:rsid w:val="0034323D"/>
    <w:rsid w:val="003979EC"/>
    <w:rsid w:val="0040057F"/>
    <w:rsid w:val="00402040"/>
    <w:rsid w:val="0047380C"/>
    <w:rsid w:val="004D53A1"/>
    <w:rsid w:val="004D5F23"/>
    <w:rsid w:val="005036EF"/>
    <w:rsid w:val="00537170"/>
    <w:rsid w:val="005372D0"/>
    <w:rsid w:val="005411AD"/>
    <w:rsid w:val="00586331"/>
    <w:rsid w:val="00593B98"/>
    <w:rsid w:val="005D65E9"/>
    <w:rsid w:val="00673A42"/>
    <w:rsid w:val="006A58C6"/>
    <w:rsid w:val="007100A1"/>
    <w:rsid w:val="00724F9C"/>
    <w:rsid w:val="0074243F"/>
    <w:rsid w:val="00753BA4"/>
    <w:rsid w:val="007613C6"/>
    <w:rsid w:val="00775C3F"/>
    <w:rsid w:val="008B1C7A"/>
    <w:rsid w:val="008D4B03"/>
    <w:rsid w:val="00985BA1"/>
    <w:rsid w:val="00996F46"/>
    <w:rsid w:val="009C57D4"/>
    <w:rsid w:val="009D032F"/>
    <w:rsid w:val="00A415BF"/>
    <w:rsid w:val="00A90C70"/>
    <w:rsid w:val="00AD6E58"/>
    <w:rsid w:val="00B1742E"/>
    <w:rsid w:val="00B242D4"/>
    <w:rsid w:val="00B4659A"/>
    <w:rsid w:val="00B76737"/>
    <w:rsid w:val="00B9798E"/>
    <w:rsid w:val="00BA1C88"/>
    <w:rsid w:val="00BB55DB"/>
    <w:rsid w:val="00C06720"/>
    <w:rsid w:val="00C137BC"/>
    <w:rsid w:val="00C6347F"/>
    <w:rsid w:val="00C85A04"/>
    <w:rsid w:val="00C86C61"/>
    <w:rsid w:val="00CA0267"/>
    <w:rsid w:val="00CC4653"/>
    <w:rsid w:val="00D37A8B"/>
    <w:rsid w:val="00D9100D"/>
    <w:rsid w:val="00DE3BF7"/>
    <w:rsid w:val="00DF4F90"/>
    <w:rsid w:val="00E1085C"/>
    <w:rsid w:val="00E1183C"/>
    <w:rsid w:val="00E9496C"/>
    <w:rsid w:val="00EC028F"/>
    <w:rsid w:val="00EF06F5"/>
    <w:rsid w:val="00F646A4"/>
    <w:rsid w:val="00F73253"/>
    <w:rsid w:val="00FA69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C5E5"/>
  <w15:chartTrackingRefBased/>
  <w15:docId w15:val="{37DFCDC2-B869-45C9-8E7F-53FDF353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03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03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036E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036E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036E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036E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36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36E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36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36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36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36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36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36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36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36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36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36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3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36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36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36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36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36E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Bul"/>
    <w:basedOn w:val="prastasis"/>
    <w:link w:val="SraopastraipaDiagrama"/>
    <w:uiPriority w:val="34"/>
    <w:qFormat/>
    <w:rsid w:val="005036EF"/>
    <w:pPr>
      <w:ind w:left="720"/>
      <w:contextualSpacing/>
    </w:pPr>
  </w:style>
  <w:style w:type="character" w:styleId="Rykuspabraukimas">
    <w:name w:val="Intense Emphasis"/>
    <w:basedOn w:val="Numatytasispastraiposriftas"/>
    <w:uiPriority w:val="21"/>
    <w:qFormat/>
    <w:rsid w:val="005036EF"/>
    <w:rPr>
      <w:i/>
      <w:iCs/>
      <w:color w:val="0F4761" w:themeColor="accent1" w:themeShade="BF"/>
    </w:rPr>
  </w:style>
  <w:style w:type="paragraph" w:styleId="Iskirtacitata">
    <w:name w:val="Intense Quote"/>
    <w:basedOn w:val="prastasis"/>
    <w:next w:val="prastasis"/>
    <w:link w:val="IskirtacitataDiagrama"/>
    <w:uiPriority w:val="30"/>
    <w:qFormat/>
    <w:rsid w:val="00503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036EF"/>
    <w:rPr>
      <w:i/>
      <w:iCs/>
      <w:color w:val="0F4761" w:themeColor="accent1" w:themeShade="BF"/>
    </w:rPr>
  </w:style>
  <w:style w:type="character" w:styleId="Rykinuoroda">
    <w:name w:val="Intense Reference"/>
    <w:basedOn w:val="Numatytasispastraiposriftas"/>
    <w:uiPriority w:val="32"/>
    <w:qFormat/>
    <w:rsid w:val="005036EF"/>
    <w:rPr>
      <w:b/>
      <w:bCs/>
      <w:smallCaps/>
      <w:color w:val="0F4761" w:themeColor="accent1" w:themeShade="BF"/>
      <w:spacing w:val="5"/>
    </w:rPr>
  </w:style>
  <w:style w:type="character" w:styleId="Hipersaitas">
    <w:name w:val="Hyperlink"/>
    <w:basedOn w:val="Numatytasispastraiposriftas"/>
    <w:uiPriority w:val="99"/>
    <w:unhideWhenUsed/>
    <w:rsid w:val="00A415BF"/>
    <w:rPr>
      <w:color w:val="467886" w:themeColor="hyperlink"/>
      <w:u w:val="single"/>
    </w:rPr>
  </w:style>
  <w:style w:type="character" w:styleId="Neapdorotaspaminjimas">
    <w:name w:val="Unresolved Mention"/>
    <w:basedOn w:val="Numatytasispastraiposriftas"/>
    <w:uiPriority w:val="99"/>
    <w:semiHidden/>
    <w:unhideWhenUsed/>
    <w:rsid w:val="00A415BF"/>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53A1"/>
  </w:style>
  <w:style w:type="paragraph" w:customStyle="1" w:styleId="SLONormalnospace">
    <w:name w:val="SLO Normal (nospace)"/>
    <w:basedOn w:val="prastasis"/>
    <w:rsid w:val="00AD6E58"/>
    <w:pPr>
      <w:overflowPunct w:val="0"/>
      <w:autoSpaceDE w:val="0"/>
      <w:autoSpaceDN w:val="0"/>
      <w:adjustRightInd w:val="0"/>
      <w:spacing w:after="0" w:line="240" w:lineRule="auto"/>
      <w:jc w:val="both"/>
    </w:pPr>
    <w:rPr>
      <w:rFonts w:ascii="Garamond" w:hAnsi="Garamond"/>
      <w:color w:val="000000" w:themeColor="text1"/>
      <w:kern w:val="0"/>
      <w:sz w:val="24"/>
      <w14:ligatures w14:val="none"/>
    </w:rPr>
  </w:style>
  <w:style w:type="paragraph" w:styleId="Pagrindiniotekstotrauka2">
    <w:name w:val="Body Text Indent 2"/>
    <w:basedOn w:val="prastasis"/>
    <w:link w:val="Pagrindiniotekstotrauka2Diagrama"/>
    <w:semiHidden/>
    <w:rsid w:val="009C57D4"/>
    <w:pPr>
      <w:spacing w:after="0" w:line="240" w:lineRule="auto"/>
      <w:ind w:firstLine="426"/>
    </w:pPr>
    <w:rPr>
      <w:rFonts w:ascii="Arial" w:eastAsia="Times New Roman" w:hAnsi="Arial" w:cs="Times New Roman"/>
      <w:kern w:val="0"/>
      <w:sz w:val="20"/>
      <w:szCs w:val="20"/>
      <w14:ligatures w14:val="none"/>
    </w:rPr>
  </w:style>
  <w:style w:type="character" w:customStyle="1" w:styleId="Pagrindiniotekstotrauka2Diagrama">
    <w:name w:val="Pagrindinio teksto įtrauka 2 Diagrama"/>
    <w:basedOn w:val="Numatytasispastraiposriftas"/>
    <w:link w:val="Pagrindiniotekstotrauka2"/>
    <w:semiHidden/>
    <w:rsid w:val="009C57D4"/>
    <w:rPr>
      <w:rFonts w:ascii="Arial" w:eastAsia="Times New Roman" w:hAnsi="Arial" w:cs="Times New Roman"/>
      <w:kern w:val="0"/>
      <w:sz w:val="20"/>
      <w:szCs w:val="20"/>
      <w14:ligatures w14:val="none"/>
    </w:rPr>
  </w:style>
  <w:style w:type="paragraph" w:styleId="HTMLiankstoformatuotas">
    <w:name w:val="HTML Preformatted"/>
    <w:basedOn w:val="prastasis"/>
    <w:link w:val="HTMLiankstoformatuotasDiagrama"/>
    <w:uiPriority w:val="99"/>
    <w:unhideWhenUsed/>
    <w:rsid w:val="0072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uiPriority w:val="99"/>
    <w:rsid w:val="00724F9C"/>
    <w:rPr>
      <w:rFonts w:ascii="Courier New" w:hAnsi="Courier New" w:cs="Courier New"/>
      <w:kern w:val="0"/>
      <w:sz w:val="20"/>
      <w:szCs w:val="20"/>
      <w:lang w:eastAsia="lt-LT"/>
      <w14:ligatures w14:val="none"/>
    </w:rPr>
  </w:style>
  <w:style w:type="paragraph" w:styleId="prastasiniatinklio">
    <w:name w:val="Normal (Web)"/>
    <w:basedOn w:val="prastasis"/>
    <w:uiPriority w:val="99"/>
    <w:unhideWhenUsed/>
    <w:rsid w:val="00284840"/>
    <w:pPr>
      <w:spacing w:after="150" w:line="240" w:lineRule="auto"/>
    </w:pPr>
    <w:rPr>
      <w:rFonts w:ascii="Times New Roman" w:eastAsia="Times New Roman" w:hAnsi="Times New Roman" w:cs="Times New Roman"/>
      <w:kern w:val="0"/>
      <w:sz w:val="24"/>
      <w:szCs w:val="24"/>
      <w:lang w:eastAsia="lt-LT"/>
      <w14:ligatures w14:val="none"/>
    </w:rPr>
  </w:style>
  <w:style w:type="paragraph" w:styleId="Pagrindinistekstas">
    <w:name w:val="Body Text"/>
    <w:basedOn w:val="prastasis"/>
    <w:link w:val="PagrindinistekstasDiagrama"/>
    <w:uiPriority w:val="99"/>
    <w:unhideWhenUsed/>
    <w:rsid w:val="00985BA1"/>
    <w:pPr>
      <w:spacing w:after="120" w:line="240" w:lineRule="auto"/>
    </w:pPr>
    <w:rPr>
      <w:rFonts w:ascii="Times New Roman" w:eastAsia="Times New Roman" w:hAnsi="Times New Roman" w:cs="Times New Roman"/>
      <w:kern w:val="0"/>
      <w:sz w:val="24"/>
      <w:szCs w:val="24"/>
      <w:lang w:eastAsia="lt-LT"/>
      <w14:ligatures w14:val="none"/>
    </w:rPr>
  </w:style>
  <w:style w:type="character" w:customStyle="1" w:styleId="PagrindinistekstasDiagrama">
    <w:name w:val="Pagrindinis tekstas Diagrama"/>
    <w:basedOn w:val="Numatytasispastraiposriftas"/>
    <w:link w:val="Pagrindinistekstas"/>
    <w:uiPriority w:val="99"/>
    <w:rsid w:val="00985BA1"/>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11911</Words>
  <Characters>6790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Panasevič</dc:creator>
  <cp:keywords/>
  <dc:description/>
  <cp:lastModifiedBy>Lina Dulinskienė</cp:lastModifiedBy>
  <cp:revision>14</cp:revision>
  <cp:lastPrinted>2025-07-22T12:48:00Z</cp:lastPrinted>
  <dcterms:created xsi:type="dcterms:W3CDTF">2025-07-23T12:21:00Z</dcterms:created>
  <dcterms:modified xsi:type="dcterms:W3CDTF">2025-10-16T11:38:00Z</dcterms:modified>
</cp:coreProperties>
</file>