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782"/>
      </w:tblGrid>
      <w:tr w:rsidR="007D694C" w:rsidRPr="00A976CF" w14:paraId="6169BEF6" w14:textId="77777777" w:rsidTr="007D694C">
        <w:tc>
          <w:tcPr>
            <w:tcW w:w="4874" w:type="dxa"/>
            <w:vAlign w:val="center"/>
          </w:tcPr>
          <w:p w14:paraId="6EC20D1B" w14:textId="77777777" w:rsidR="007D694C" w:rsidRPr="00A976CF" w:rsidRDefault="007D694C" w:rsidP="007D694C">
            <w:pPr>
              <w:ind w:right="200"/>
              <w:contextualSpacing/>
              <w:jc w:val="left"/>
              <w:rPr>
                <w:rFonts w:ascii="Arial" w:hAnsi="Arial" w:cs="Arial"/>
                <w:bCs/>
                <w:sz w:val="22"/>
                <w:szCs w:val="22"/>
              </w:rPr>
            </w:pPr>
            <w:r w:rsidRPr="00A976CF">
              <w:rPr>
                <w:rFonts w:ascii="Arial" w:hAnsi="Arial" w:cs="Arial"/>
                <w:noProof/>
                <w:lang w:eastAsia="lt-LT"/>
              </w:rPr>
              <w:drawing>
                <wp:inline distT="0" distB="0" distL="0" distR="0" wp14:anchorId="1EE5E84B" wp14:editId="750D4BE7">
                  <wp:extent cx="2355792" cy="509148"/>
                  <wp:effectExtent l="0" t="0" r="6985" b="5715"/>
                  <wp:docPr id="1" name="Paveikslėlis 1"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6045" cy="520009"/>
                          </a:xfrm>
                          <a:prstGeom prst="rect">
                            <a:avLst/>
                          </a:prstGeom>
                          <a:noFill/>
                          <a:ln>
                            <a:noFill/>
                          </a:ln>
                        </pic:spPr>
                      </pic:pic>
                    </a:graphicData>
                  </a:graphic>
                </wp:inline>
              </w:drawing>
            </w:r>
          </w:p>
        </w:tc>
        <w:tc>
          <w:tcPr>
            <w:tcW w:w="5098" w:type="dxa"/>
          </w:tcPr>
          <w:p w14:paraId="257DAD30" w14:textId="77777777" w:rsidR="007D694C" w:rsidRPr="00A976CF" w:rsidRDefault="007D694C" w:rsidP="007D694C">
            <w:pPr>
              <w:contextualSpacing/>
              <w:jc w:val="left"/>
              <w:rPr>
                <w:rFonts w:ascii="Arial" w:hAnsi="Arial" w:cs="Arial"/>
                <w:bCs/>
                <w:sz w:val="22"/>
                <w:szCs w:val="22"/>
              </w:rPr>
            </w:pPr>
            <w:r w:rsidRPr="00A976CF">
              <w:rPr>
                <w:rFonts w:ascii="Arial" w:hAnsi="Arial" w:cs="Arial"/>
                <w:bCs/>
                <w:noProof/>
                <w:lang w:eastAsia="lt-LT"/>
              </w:rPr>
              <w:drawing>
                <wp:inline distT="0" distB="0" distL="0" distR="0" wp14:anchorId="1A25C1C6" wp14:editId="35878F4A">
                  <wp:extent cx="2207852" cy="942360"/>
                  <wp:effectExtent l="0" t="0" r="254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3327" cy="974574"/>
                          </a:xfrm>
                          <a:prstGeom prst="rect">
                            <a:avLst/>
                          </a:prstGeom>
                          <a:noFill/>
                        </pic:spPr>
                      </pic:pic>
                    </a:graphicData>
                  </a:graphic>
                </wp:inline>
              </w:drawing>
            </w:r>
          </w:p>
        </w:tc>
      </w:tr>
    </w:tbl>
    <w:p w14:paraId="30CFC9DF" w14:textId="77777777" w:rsidR="001D7614" w:rsidRPr="00A976CF" w:rsidRDefault="001D7614" w:rsidP="001D7614">
      <w:pPr>
        <w:spacing w:after="0" w:line="240" w:lineRule="auto"/>
        <w:jc w:val="both"/>
        <w:rPr>
          <w:rFonts w:ascii="Arial" w:hAnsi="Arial" w:cs="Arial"/>
          <w:shd w:val="clear" w:color="auto" w:fill="FFFFFF"/>
        </w:rPr>
      </w:pPr>
    </w:p>
    <w:p w14:paraId="2E803612" w14:textId="77777777" w:rsidR="001D7614" w:rsidRPr="00A976CF" w:rsidRDefault="007D694C" w:rsidP="007D694C">
      <w:pPr>
        <w:spacing w:after="0" w:line="240" w:lineRule="auto"/>
        <w:jc w:val="center"/>
        <w:rPr>
          <w:rFonts w:ascii="Arial" w:hAnsi="Arial" w:cs="Arial"/>
          <w:b/>
          <w:shd w:val="clear" w:color="auto" w:fill="FFFFFF"/>
        </w:rPr>
      </w:pPr>
      <w:r w:rsidRPr="00A976CF">
        <w:rPr>
          <w:rFonts w:ascii="Arial" w:hAnsi="Arial" w:cs="Arial"/>
          <w:b/>
          <w:shd w:val="clear" w:color="auto" w:fill="FFFFFF"/>
        </w:rPr>
        <w:t>PROFESINIO MOKYMO ĮSTAIGŲ VEIKLOS IŠORINIO VERTINIMO PASLAUGŲ PIRKIMAS</w:t>
      </w:r>
    </w:p>
    <w:p w14:paraId="07A72403" w14:textId="77777777" w:rsidR="001D7614" w:rsidRPr="00A976CF" w:rsidRDefault="001D7614" w:rsidP="001D7614">
      <w:pPr>
        <w:spacing w:after="0" w:line="240" w:lineRule="auto"/>
        <w:jc w:val="both"/>
        <w:rPr>
          <w:rFonts w:ascii="Arial" w:hAnsi="Arial" w:cs="Arial"/>
          <w:shd w:val="clear" w:color="auto" w:fill="FFFFFF"/>
        </w:rPr>
      </w:pPr>
    </w:p>
    <w:p w14:paraId="321D47E7" w14:textId="77777777" w:rsidR="007D694C" w:rsidRPr="00A976CF" w:rsidRDefault="007D694C" w:rsidP="001D7614">
      <w:pPr>
        <w:spacing w:after="0" w:line="240" w:lineRule="auto"/>
        <w:jc w:val="both"/>
        <w:rPr>
          <w:rFonts w:ascii="Arial" w:hAnsi="Arial" w:cs="Arial"/>
          <w:shd w:val="clear" w:color="auto" w:fill="FFFFFF"/>
        </w:rPr>
      </w:pPr>
    </w:p>
    <w:p w14:paraId="285C4754" w14:textId="77777777" w:rsidR="007D694C" w:rsidRPr="00A976CF" w:rsidRDefault="007D694C" w:rsidP="001D7614">
      <w:pPr>
        <w:spacing w:after="0" w:line="240" w:lineRule="auto"/>
        <w:jc w:val="both"/>
        <w:rPr>
          <w:rFonts w:ascii="Arial" w:hAnsi="Arial" w:cs="Arial"/>
          <w:shd w:val="clear" w:color="auto" w:fill="FFFFFF"/>
        </w:rPr>
      </w:pPr>
    </w:p>
    <w:p w14:paraId="77293642" w14:textId="77777777" w:rsidR="001D7614" w:rsidRPr="00A976CF" w:rsidRDefault="001D7614" w:rsidP="001D7614">
      <w:pPr>
        <w:spacing w:after="0" w:line="240" w:lineRule="auto"/>
        <w:jc w:val="both"/>
        <w:rPr>
          <w:rFonts w:ascii="Arial" w:hAnsi="Arial" w:cs="Arial"/>
        </w:rPr>
      </w:pPr>
      <w:r w:rsidRPr="00A976CF">
        <w:rPr>
          <w:rFonts w:ascii="Arial" w:hAnsi="Arial" w:cs="Arial"/>
        </w:rPr>
        <w:t xml:space="preserve">Kandidatams </w:t>
      </w:r>
      <w:r w:rsidR="007D694C" w:rsidRPr="00A976CF">
        <w:rPr>
          <w:rFonts w:ascii="Arial" w:hAnsi="Arial" w:cs="Arial"/>
        </w:rPr>
        <w:t>ir dalyviams CVP IS priemonėmis</w:t>
      </w:r>
    </w:p>
    <w:p w14:paraId="03136C87" w14:textId="77777777" w:rsidR="001D7614" w:rsidRPr="00A976CF" w:rsidRDefault="001D7614" w:rsidP="001D7614">
      <w:pPr>
        <w:spacing w:after="0" w:line="240" w:lineRule="auto"/>
        <w:jc w:val="both"/>
        <w:rPr>
          <w:rFonts w:ascii="Arial" w:hAnsi="Arial" w:cs="Arial"/>
        </w:rPr>
      </w:pPr>
    </w:p>
    <w:p w14:paraId="1B3735E9" w14:textId="77777777" w:rsidR="007D694C" w:rsidRPr="00A976CF" w:rsidRDefault="007D694C" w:rsidP="001D7614">
      <w:pPr>
        <w:spacing w:after="0" w:line="240" w:lineRule="auto"/>
        <w:jc w:val="both"/>
        <w:rPr>
          <w:rFonts w:ascii="Arial" w:hAnsi="Arial" w:cs="Arial"/>
        </w:rPr>
      </w:pPr>
    </w:p>
    <w:p w14:paraId="301BEE56" w14:textId="77777777" w:rsidR="007D694C" w:rsidRPr="00A976CF" w:rsidRDefault="007D694C" w:rsidP="001D7614">
      <w:pPr>
        <w:spacing w:after="0" w:line="240" w:lineRule="auto"/>
        <w:jc w:val="both"/>
        <w:rPr>
          <w:rFonts w:ascii="Arial" w:hAnsi="Arial" w:cs="Arial"/>
        </w:rPr>
      </w:pPr>
    </w:p>
    <w:p w14:paraId="3A9316AF" w14:textId="08014B65" w:rsidR="001D7614" w:rsidRPr="00A976CF" w:rsidRDefault="00EE0F87" w:rsidP="001D7614">
      <w:pPr>
        <w:spacing w:after="0" w:line="240" w:lineRule="auto"/>
        <w:jc w:val="both"/>
        <w:rPr>
          <w:rFonts w:ascii="Arial" w:hAnsi="Arial" w:cs="Arial"/>
        </w:rPr>
      </w:pPr>
      <w:r w:rsidRPr="00A976CF">
        <w:rPr>
          <w:rFonts w:ascii="Arial" w:hAnsi="Arial" w:cs="Arial"/>
        </w:rPr>
        <w:t>Dėl atsakymo į gautą paklausimą</w:t>
      </w:r>
      <w:r w:rsidR="00D25EBC">
        <w:rPr>
          <w:rFonts w:ascii="Arial" w:hAnsi="Arial" w:cs="Arial"/>
        </w:rPr>
        <w:t xml:space="preserve"> ir pirkimo procedūrų nutraukimo</w:t>
      </w:r>
    </w:p>
    <w:p w14:paraId="37DA0F51" w14:textId="77777777" w:rsidR="001D7614" w:rsidRPr="00A976CF" w:rsidRDefault="001D7614" w:rsidP="001D7614">
      <w:pPr>
        <w:spacing w:after="0" w:line="240" w:lineRule="auto"/>
        <w:jc w:val="both"/>
        <w:rPr>
          <w:rFonts w:ascii="Arial" w:hAnsi="Arial" w:cs="Arial"/>
        </w:rPr>
      </w:pPr>
    </w:p>
    <w:p w14:paraId="438A64CD" w14:textId="77777777" w:rsidR="007D694C" w:rsidRPr="00A976CF" w:rsidRDefault="007D694C" w:rsidP="001D7614">
      <w:pPr>
        <w:spacing w:after="0" w:line="240" w:lineRule="auto"/>
        <w:jc w:val="both"/>
        <w:rPr>
          <w:rFonts w:ascii="Arial" w:hAnsi="Arial" w:cs="Arial"/>
        </w:rPr>
      </w:pPr>
    </w:p>
    <w:p w14:paraId="2F49E62A" w14:textId="77777777" w:rsidR="007D694C" w:rsidRPr="00A976CF" w:rsidRDefault="007D694C" w:rsidP="001D7614">
      <w:pPr>
        <w:spacing w:after="0" w:line="240" w:lineRule="auto"/>
        <w:jc w:val="both"/>
        <w:rPr>
          <w:rFonts w:ascii="Arial" w:hAnsi="Arial" w:cs="Arial"/>
        </w:rPr>
      </w:pPr>
    </w:p>
    <w:p w14:paraId="410F9CFE" w14:textId="77777777" w:rsidR="00831277" w:rsidRPr="00A976CF" w:rsidRDefault="00831277" w:rsidP="001D7614">
      <w:pPr>
        <w:spacing w:after="0" w:line="240" w:lineRule="auto"/>
        <w:ind w:firstLine="720"/>
        <w:jc w:val="both"/>
        <w:rPr>
          <w:rFonts w:ascii="Arial" w:hAnsi="Arial" w:cs="Arial"/>
        </w:rPr>
      </w:pPr>
      <w:r w:rsidRPr="00A976CF">
        <w:rPr>
          <w:rFonts w:ascii="Arial" w:hAnsi="Arial" w:cs="Arial"/>
        </w:rPr>
        <w:t>2025 m. spalio 15</w:t>
      </w:r>
      <w:r w:rsidR="00CA275E" w:rsidRPr="00A976CF">
        <w:rPr>
          <w:rFonts w:ascii="Arial" w:hAnsi="Arial" w:cs="Arial"/>
        </w:rPr>
        <w:t xml:space="preserve"> d. Perkančioji organizacija</w:t>
      </w:r>
      <w:r w:rsidR="001D7614" w:rsidRPr="00A976CF">
        <w:rPr>
          <w:rFonts w:ascii="Arial" w:hAnsi="Arial" w:cs="Arial"/>
        </w:rPr>
        <w:t xml:space="preserve"> CVP IS priemonėmis gavo </w:t>
      </w:r>
      <w:r w:rsidR="00CA275E" w:rsidRPr="00A976CF">
        <w:rPr>
          <w:rFonts w:ascii="Arial" w:hAnsi="Arial" w:cs="Arial"/>
        </w:rPr>
        <w:t>vieno iš tiekėjų</w:t>
      </w:r>
      <w:r w:rsidR="001D7614" w:rsidRPr="00A976CF">
        <w:rPr>
          <w:rFonts w:ascii="Arial" w:hAnsi="Arial" w:cs="Arial"/>
        </w:rPr>
        <w:t xml:space="preserve"> paklausimą (siekiant išv</w:t>
      </w:r>
      <w:r w:rsidR="007E60CF" w:rsidRPr="00A976CF">
        <w:rPr>
          <w:rFonts w:ascii="Arial" w:hAnsi="Arial" w:cs="Arial"/>
        </w:rPr>
        <w:t>engti interpretacijų, paklausimų</w:t>
      </w:r>
      <w:r w:rsidR="001D7614" w:rsidRPr="00A976CF">
        <w:rPr>
          <w:rFonts w:ascii="Arial" w:hAnsi="Arial" w:cs="Arial"/>
        </w:rPr>
        <w:t xml:space="preserve"> tekstas nekoreguojamas). Perkančioji organizacija</w:t>
      </w:r>
      <w:r w:rsidR="00CA275E" w:rsidRPr="00A976CF">
        <w:rPr>
          <w:rFonts w:ascii="Arial" w:hAnsi="Arial" w:cs="Arial"/>
        </w:rPr>
        <w:t>, vadovaudamasi Pirkimo sąlygų</w:t>
      </w:r>
      <w:r w:rsidR="001D7614" w:rsidRPr="00A976CF">
        <w:rPr>
          <w:rFonts w:ascii="Arial" w:hAnsi="Arial" w:cs="Arial"/>
        </w:rPr>
        <w:t xml:space="preserve"> reikalavimais</w:t>
      </w:r>
      <w:r w:rsidR="00CA275E" w:rsidRPr="00A976CF">
        <w:rPr>
          <w:rFonts w:ascii="Arial" w:hAnsi="Arial" w:cs="Arial"/>
        </w:rPr>
        <w:t xml:space="preserve"> bei į tai, kad paklausimai yra esminiai,</w:t>
      </w:r>
      <w:r w:rsidR="001D7614" w:rsidRPr="00A976CF">
        <w:rPr>
          <w:rFonts w:ascii="Arial" w:hAnsi="Arial" w:cs="Arial"/>
        </w:rPr>
        <w:t xml:space="preserve"> atsako į gautą </w:t>
      </w:r>
      <w:r w:rsidR="007E60CF" w:rsidRPr="00A976CF">
        <w:rPr>
          <w:rFonts w:ascii="Arial" w:hAnsi="Arial" w:cs="Arial"/>
        </w:rPr>
        <w:t>vieno iš tiekėjų</w:t>
      </w:r>
      <w:r w:rsidR="001D7614" w:rsidRPr="00A976CF">
        <w:rPr>
          <w:rFonts w:ascii="Arial" w:hAnsi="Arial" w:cs="Arial"/>
        </w:rPr>
        <w:t xml:space="preserve"> paklausimą</w:t>
      </w:r>
      <w:r w:rsidRPr="00A976CF">
        <w:rPr>
          <w:rFonts w:ascii="Arial" w:hAnsi="Arial" w:cs="Arial"/>
        </w:rPr>
        <w:t>.</w:t>
      </w:r>
    </w:p>
    <w:p w14:paraId="0F069DE9" w14:textId="77777777" w:rsidR="001D7614" w:rsidRPr="00A976CF" w:rsidRDefault="00831277" w:rsidP="001D7614">
      <w:pPr>
        <w:spacing w:after="0" w:line="240" w:lineRule="auto"/>
        <w:ind w:firstLine="720"/>
        <w:jc w:val="both"/>
        <w:rPr>
          <w:rFonts w:ascii="Arial" w:hAnsi="Arial" w:cs="Arial"/>
          <w:b/>
          <w:shd w:val="clear" w:color="auto" w:fill="FFFFFF"/>
        </w:rPr>
      </w:pPr>
      <w:r w:rsidRPr="00A976CF">
        <w:rPr>
          <w:rFonts w:ascii="Arial" w:hAnsi="Arial" w:cs="Arial"/>
          <w:b/>
          <w:shd w:val="clear" w:color="auto" w:fill="FFFFFF"/>
        </w:rPr>
        <w:t>Klausimas Nr. 1.</w:t>
      </w:r>
    </w:p>
    <w:p w14:paraId="0BE49AC3"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Analizuojant pirkimo dokumentus, kilo dvejonių dėl pirkimo techninės specifikacijos 3.3 punkte nurodytų sąlygų suderinamumo su specialiųjų sąlygų 8 priedo „Siūlomų ekspertų sąrašas“ lentelėje prašoma užpildyti informacija.</w:t>
      </w:r>
    </w:p>
    <w:p w14:paraId="5C11D745"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Techninės specifikacijos 3.3 punkte nurodoma, kad „PMĮ veiklos išorinį vertinimą konkrečioje PMĮ atlieka ne mažesnė kaip 4 (keturių) išorinio vertinimo ekspertų grupė, kurioje bent 1 (vienas) ekspertas turi atstovauti atitinkamai verslo sričiai, kuri priklauso nuo vertinamos PMĮ, ir bent 1 (vienas) – švietimo sričiai“. Ar gerai suprantame minėtą nuostatą, kad vertinant, pavyzdžiui, Kauno maisto pramonės ir prekybos mokymo centrą, prie kurio techninės specifikacijos 3.5 punkte yra nurodytos dvi sritys, t. y. „apgyvendinimo ir maitinimo paslaugų sektorius“ ir „maisto produktų gamybos sektorius“, pakaktų nurodyti pasirinktinai bent vieną ekspertą, kuris atstovautų minimą pirmą ar antrą sektorių, taip pat bent vieną atstovą iš švietimo srities, o kitus atstovus pagal kitas kompetencijas. Kitaip tariant, ar nurodžius ekspertą iš apgyvendinimo ir maitinimo paslaugų sektoriaus nebėra privaloma nurodyti bent vieno eksperto iš maisto produktų gamybos sektoriaus? To teiraujamės, nes pirkimo specialiųjų sąlygų 8 priedo „Siūlomų ekspertų sąrašas“ lentelės stulpelyje „Eksperto atstovaujamas ūkio sektorius“ prašoma nurodyti ne pasirinktinai, bet visų išvardintų profesinio mokymo įstaigos mokymo sričių ekspertus.</w:t>
      </w:r>
    </w:p>
    <w:p w14:paraId="337C6741"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Be to, atkreipiame dėmesį, kad prie Kauno technologijų mokymo centro yra pažymėtos keturios mokymo sritys ir nėra aišku, ar šiai įstaigai vertinti turėtų būti sudaroma minimaliai keturių ekspertų grupė, kaip nurodyta techninės specifikacijos 3.3 punkte (kur vienas atstovas iš švietimo srities), ar visgi turėtų būti sudaroma mažiausiai 5 ekspertų grupė, padengiant siūlomais ekspertais visas keturias mokymo sritis ir dar deleguojant papildomai vieną atstovą iš švietimo srities.</w:t>
      </w:r>
    </w:p>
    <w:p w14:paraId="469205C0" w14:textId="77777777" w:rsidR="00720160" w:rsidRPr="00A976CF" w:rsidRDefault="00720160" w:rsidP="00720160">
      <w:pPr>
        <w:spacing w:after="0" w:line="240" w:lineRule="auto"/>
        <w:ind w:firstLine="720"/>
        <w:jc w:val="both"/>
        <w:rPr>
          <w:rFonts w:ascii="Arial" w:hAnsi="Arial" w:cs="Arial"/>
          <w:b/>
          <w:shd w:val="clear" w:color="auto" w:fill="FFFFFF"/>
        </w:rPr>
      </w:pPr>
      <w:r w:rsidRPr="00A976CF">
        <w:rPr>
          <w:rFonts w:ascii="Arial" w:hAnsi="Arial" w:cs="Arial"/>
          <w:b/>
          <w:shd w:val="clear" w:color="auto" w:fill="FFFFFF"/>
        </w:rPr>
        <w:t>Atsakymas.</w:t>
      </w:r>
    </w:p>
    <w:p w14:paraId="6AF3681F" w14:textId="77777777" w:rsidR="00720160" w:rsidRPr="00A976CF" w:rsidRDefault="00720160" w:rsidP="00720160">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 xml:space="preserve">Pirkimo komisija paaiškina, kad Specialiųjų pirkimo sąlygų 4 priedo 3.3. punkte nustatyta, kad: </w:t>
      </w:r>
      <w:r w:rsidRPr="00A976CF">
        <w:rPr>
          <w:rFonts w:ascii="Arial" w:hAnsi="Arial" w:cs="Arial"/>
          <w:i/>
          <w:shd w:val="clear" w:color="auto" w:fill="FFFFFF"/>
        </w:rPr>
        <w:t xml:space="preserve">PMĮ veiklos išorinį vertinimą konkrečioje PMĮ atlieka </w:t>
      </w:r>
      <w:r w:rsidRPr="00A976CF">
        <w:rPr>
          <w:rFonts w:ascii="Arial" w:hAnsi="Arial" w:cs="Arial"/>
          <w:b/>
          <w:i/>
          <w:shd w:val="clear" w:color="auto" w:fill="FFFFFF"/>
        </w:rPr>
        <w:t>ne mažesnė kaip 4 (keturių) išorinio vertinimo ekspertų grupė</w:t>
      </w:r>
      <w:r w:rsidRPr="00A976CF">
        <w:rPr>
          <w:rFonts w:ascii="Arial" w:hAnsi="Arial" w:cs="Arial"/>
          <w:i/>
          <w:shd w:val="clear" w:color="auto" w:fill="FFFFFF"/>
        </w:rPr>
        <w:t>, kurioje bent 1 (vienas) ekspertas turi atstovauti atitinkamai verslo</w:t>
      </w:r>
      <w:r w:rsidRPr="00A976CF">
        <w:rPr>
          <w:rFonts w:ascii="Arial" w:hAnsi="Arial" w:cs="Arial"/>
          <w:i/>
          <w:shd w:val="clear" w:color="auto" w:fill="FFFFFF"/>
          <w:vertAlign w:val="superscript"/>
        </w:rPr>
        <w:footnoteReference w:id="1"/>
      </w:r>
      <w:r w:rsidRPr="00A976CF">
        <w:rPr>
          <w:rFonts w:ascii="Arial" w:hAnsi="Arial" w:cs="Arial"/>
          <w:i/>
          <w:shd w:val="clear" w:color="auto" w:fill="FFFFFF"/>
        </w:rPr>
        <w:t xml:space="preserve"> sričiai, kuri priklauso nuo vertinamos PMĮ, ir bent 1 (vienas) – švietimo sričiai.</w:t>
      </w:r>
      <w:r w:rsidRPr="00A976CF">
        <w:rPr>
          <w:rFonts w:ascii="Arial" w:hAnsi="Arial" w:cs="Arial"/>
          <w:shd w:val="clear" w:color="auto" w:fill="FFFFFF"/>
        </w:rPr>
        <w:t xml:space="preserve"> Tai reiškia, kad profesinio mokymo įstaigų veiklos išorinį vertinimą turi atlikti ne mažiau kaip 4 (keturių) ekspertų grupė, tačiau dėl didesnio ekspertų grupės skaičiaus sprendžia pats tiekėjas, atsižvelgiant į numatomą atlikti darbų apimtį ar į profesinio mokymo įstaigos vykdomas mokymo sritis, pavyzdžiui, jei vykdo keturias ir daugiau mokymo sričių. Pateikiame pavyzdžius.</w:t>
      </w:r>
    </w:p>
    <w:p w14:paraId="16EE5125" w14:textId="113A5BC4" w:rsidR="00720160" w:rsidRPr="00A976CF" w:rsidRDefault="00720160" w:rsidP="00720160">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lastRenderedPageBreak/>
        <w:t xml:space="preserve">Pavyzdys Nr. 1. Alytaus profesinio rengimo centras vykdo Energetikos sektoriaus ir Inžinerinės pramonės sektoriaus mokymo </w:t>
      </w:r>
      <w:r w:rsidR="00C461AE" w:rsidRPr="00A976CF">
        <w:rPr>
          <w:rFonts w:ascii="Arial" w:hAnsi="Arial" w:cs="Arial"/>
          <w:shd w:val="clear" w:color="auto" w:fill="FFFFFF"/>
        </w:rPr>
        <w:t>programas</w:t>
      </w:r>
      <w:r w:rsidRPr="00A976CF">
        <w:rPr>
          <w:rFonts w:ascii="Arial" w:hAnsi="Arial" w:cs="Arial"/>
          <w:shd w:val="clear" w:color="auto" w:fill="FFFFFF"/>
        </w:rPr>
        <w:t>, tai reiškia, kad šią ekspertų grupę turi sudaryti bent vienas energetikos sektoriaus ekspertas, bent vienas inžinerinės pramonės sektoriaus</w:t>
      </w:r>
      <w:r w:rsidR="007E60CF" w:rsidRPr="00A976CF">
        <w:rPr>
          <w:rFonts w:ascii="Arial" w:hAnsi="Arial" w:cs="Arial"/>
          <w:shd w:val="clear" w:color="auto" w:fill="FFFFFF"/>
        </w:rPr>
        <w:t xml:space="preserve"> ekspertas</w:t>
      </w:r>
      <w:r w:rsidRPr="00A976CF">
        <w:rPr>
          <w:rFonts w:ascii="Arial" w:hAnsi="Arial" w:cs="Arial"/>
          <w:shd w:val="clear" w:color="auto" w:fill="FFFFFF"/>
        </w:rPr>
        <w:t xml:space="preserve">, bent vienas švietimo sektoriaus ekspertas. Šiuo atveju, ketvirtas ekspertas gali būti </w:t>
      </w:r>
      <w:r w:rsidR="00C461AE" w:rsidRPr="00A976CF">
        <w:rPr>
          <w:rFonts w:ascii="Arial" w:hAnsi="Arial" w:cs="Arial"/>
          <w:shd w:val="clear" w:color="auto" w:fill="FFFFFF"/>
        </w:rPr>
        <w:t xml:space="preserve">iš </w:t>
      </w:r>
      <w:r w:rsidRPr="00A976CF">
        <w:rPr>
          <w:rFonts w:ascii="Arial" w:hAnsi="Arial" w:cs="Arial"/>
          <w:shd w:val="clear" w:color="auto" w:fill="FFFFFF"/>
        </w:rPr>
        <w:t xml:space="preserve">energetikos sektoriaus arba </w:t>
      </w:r>
      <w:r w:rsidR="00C461AE" w:rsidRPr="00A976CF">
        <w:rPr>
          <w:rFonts w:ascii="Arial" w:hAnsi="Arial" w:cs="Arial"/>
          <w:shd w:val="clear" w:color="auto" w:fill="FFFFFF"/>
        </w:rPr>
        <w:t xml:space="preserve">iš </w:t>
      </w:r>
      <w:r w:rsidRPr="00A976CF">
        <w:rPr>
          <w:rFonts w:ascii="Arial" w:hAnsi="Arial" w:cs="Arial"/>
          <w:shd w:val="clear" w:color="auto" w:fill="FFFFFF"/>
        </w:rPr>
        <w:t xml:space="preserve">inžinerinės pramonės sektoriaus, arba </w:t>
      </w:r>
      <w:r w:rsidR="00C461AE" w:rsidRPr="00A976CF">
        <w:rPr>
          <w:rFonts w:ascii="Arial" w:hAnsi="Arial" w:cs="Arial"/>
          <w:shd w:val="clear" w:color="auto" w:fill="FFFFFF"/>
        </w:rPr>
        <w:t xml:space="preserve">iš </w:t>
      </w:r>
      <w:r w:rsidRPr="00A976CF">
        <w:rPr>
          <w:rFonts w:ascii="Arial" w:hAnsi="Arial" w:cs="Arial"/>
          <w:shd w:val="clear" w:color="auto" w:fill="FFFFFF"/>
        </w:rPr>
        <w:t>švietimo sektoriaus,</w:t>
      </w:r>
      <w:r w:rsidR="00E13B4E" w:rsidRPr="00A976CF">
        <w:rPr>
          <w:rFonts w:ascii="Arial" w:hAnsi="Arial" w:cs="Arial"/>
          <w:shd w:val="clear" w:color="auto" w:fill="FFFFFF"/>
        </w:rPr>
        <w:t xml:space="preserve"> </w:t>
      </w:r>
      <w:r w:rsidRPr="00A976CF">
        <w:rPr>
          <w:rFonts w:ascii="Arial" w:hAnsi="Arial" w:cs="Arial"/>
          <w:shd w:val="clear" w:color="auto" w:fill="FFFFFF"/>
        </w:rPr>
        <w:t>kitų</w:t>
      </w:r>
      <w:r w:rsidR="00C461AE" w:rsidRPr="00A976CF">
        <w:rPr>
          <w:rFonts w:ascii="Arial" w:hAnsi="Arial" w:cs="Arial"/>
          <w:shd w:val="clear" w:color="auto" w:fill="FFFFFF"/>
        </w:rPr>
        <w:t xml:space="preserve"> ūkio sektorių ekspertai</w:t>
      </w:r>
      <w:r w:rsidR="007E60CF" w:rsidRPr="00A976CF">
        <w:rPr>
          <w:rFonts w:ascii="Arial" w:hAnsi="Arial" w:cs="Arial"/>
          <w:shd w:val="clear" w:color="auto" w:fill="FFFFFF"/>
        </w:rPr>
        <w:t>, išskyrus išvardint</w:t>
      </w:r>
      <w:r w:rsidR="00C461AE" w:rsidRPr="00A976CF">
        <w:rPr>
          <w:rFonts w:ascii="Arial" w:hAnsi="Arial" w:cs="Arial"/>
          <w:shd w:val="clear" w:color="auto" w:fill="FFFFFF"/>
        </w:rPr>
        <w:t>us</w:t>
      </w:r>
      <w:r w:rsidR="007E60CF" w:rsidRPr="00A976CF">
        <w:rPr>
          <w:rFonts w:ascii="Arial" w:hAnsi="Arial" w:cs="Arial"/>
          <w:shd w:val="clear" w:color="auto" w:fill="FFFFFF"/>
        </w:rPr>
        <w:t xml:space="preserve">, </w:t>
      </w:r>
      <w:r w:rsidRPr="00A976CF">
        <w:rPr>
          <w:rFonts w:ascii="Arial" w:hAnsi="Arial" w:cs="Arial"/>
          <w:shd w:val="clear" w:color="auto" w:fill="FFFFFF"/>
        </w:rPr>
        <w:t>Alytaus profesinio rengimo centr</w:t>
      </w:r>
      <w:r w:rsidR="007E60CF" w:rsidRPr="00A976CF">
        <w:rPr>
          <w:rFonts w:ascii="Arial" w:hAnsi="Arial" w:cs="Arial"/>
          <w:shd w:val="clear" w:color="auto" w:fill="FFFFFF"/>
        </w:rPr>
        <w:t>o</w:t>
      </w:r>
      <w:r w:rsidRPr="00A976CF">
        <w:rPr>
          <w:rFonts w:ascii="Arial" w:hAnsi="Arial" w:cs="Arial"/>
          <w:shd w:val="clear" w:color="auto" w:fill="FFFFFF"/>
        </w:rPr>
        <w:t xml:space="preserve"> vertinti negali.</w:t>
      </w:r>
    </w:p>
    <w:p w14:paraId="4FABB0DD" w14:textId="221914D7" w:rsidR="00720160" w:rsidRPr="00A976CF" w:rsidRDefault="00720160" w:rsidP="00720160">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 xml:space="preserve">Pavyzdys Nr. 2. Kauno technologijų mokymo centras vykdo Medienos ir medienos gaminių, baldų, popieriaus ir popieriaus gaminių gamybos sektoriaus, Transportavimo ir saugojimo paslaugų sektoriaus, Transporto priemonių techninės priežiūros ir remonto sektoriaus ir Statybos sektoriaus mokymo </w:t>
      </w:r>
      <w:r w:rsidR="00C461AE" w:rsidRPr="00A976CF">
        <w:rPr>
          <w:rFonts w:ascii="Arial" w:hAnsi="Arial" w:cs="Arial"/>
          <w:shd w:val="clear" w:color="auto" w:fill="FFFFFF"/>
        </w:rPr>
        <w:t>programas</w:t>
      </w:r>
      <w:r w:rsidRPr="00A976CF">
        <w:rPr>
          <w:rFonts w:ascii="Arial" w:hAnsi="Arial" w:cs="Arial"/>
          <w:shd w:val="clear" w:color="auto" w:fill="FFFFFF"/>
        </w:rPr>
        <w:t>. Tai, šiuo atveju, Kauno technologijų mokymo centro veiklos išorinio vertinimo ekspertų grupę turi sudaryti ne mažiau kaip penki ekspertai, kadangi Kauno technologijų mokymo centras vykdo ketur</w:t>
      </w:r>
      <w:r w:rsidR="00C461AE" w:rsidRPr="00A976CF">
        <w:rPr>
          <w:rFonts w:ascii="Arial" w:hAnsi="Arial" w:cs="Arial"/>
          <w:shd w:val="clear" w:color="auto" w:fill="FFFFFF"/>
        </w:rPr>
        <w:t>ių ūkio sektorių</w:t>
      </w:r>
      <w:r w:rsidRPr="00A976CF">
        <w:rPr>
          <w:rFonts w:ascii="Arial" w:hAnsi="Arial" w:cs="Arial"/>
          <w:shd w:val="clear" w:color="auto" w:fill="FFFFFF"/>
        </w:rPr>
        <w:t xml:space="preserve"> mokymo </w:t>
      </w:r>
      <w:r w:rsidR="00C461AE" w:rsidRPr="00A976CF">
        <w:rPr>
          <w:rFonts w:ascii="Arial" w:hAnsi="Arial" w:cs="Arial"/>
          <w:shd w:val="clear" w:color="auto" w:fill="FFFFFF"/>
        </w:rPr>
        <w:t xml:space="preserve">programas ir </w:t>
      </w:r>
      <w:r w:rsidRPr="00A976CF">
        <w:rPr>
          <w:rFonts w:ascii="Arial" w:hAnsi="Arial" w:cs="Arial"/>
          <w:shd w:val="clear" w:color="auto" w:fill="FFFFFF"/>
        </w:rPr>
        <w:t>ekspertų grupėje turi būti bent vienas Medienos ir medienos gaminių, baldų, popieriaus ir popieriaus gaminių gamybos sektoriaus</w:t>
      </w:r>
      <w:r w:rsidR="007E60CF" w:rsidRPr="00A976CF">
        <w:rPr>
          <w:rFonts w:ascii="Arial" w:hAnsi="Arial" w:cs="Arial"/>
          <w:shd w:val="clear" w:color="auto" w:fill="FFFFFF"/>
        </w:rPr>
        <w:t xml:space="preserve"> ekspertas</w:t>
      </w:r>
      <w:r w:rsidRPr="00A976CF">
        <w:rPr>
          <w:rFonts w:ascii="Arial" w:hAnsi="Arial" w:cs="Arial"/>
          <w:shd w:val="clear" w:color="auto" w:fill="FFFFFF"/>
        </w:rPr>
        <w:t>, bent vienas Transportavimo ir saugojimo paslaugų sektoriaus</w:t>
      </w:r>
      <w:r w:rsidR="007E60CF" w:rsidRPr="00A976CF">
        <w:rPr>
          <w:rFonts w:ascii="Arial" w:hAnsi="Arial" w:cs="Arial"/>
          <w:shd w:val="clear" w:color="auto" w:fill="FFFFFF"/>
        </w:rPr>
        <w:t xml:space="preserve"> ekspertas</w:t>
      </w:r>
      <w:r w:rsidRPr="00A976CF">
        <w:rPr>
          <w:rFonts w:ascii="Arial" w:hAnsi="Arial" w:cs="Arial"/>
          <w:shd w:val="clear" w:color="auto" w:fill="FFFFFF"/>
        </w:rPr>
        <w:t>, bent vienas Transporto priemonių techninės priežiūros ir remonto sektoriaus</w:t>
      </w:r>
      <w:r w:rsidR="007E60CF" w:rsidRPr="00A976CF">
        <w:rPr>
          <w:rFonts w:ascii="Arial" w:hAnsi="Arial" w:cs="Arial"/>
          <w:shd w:val="clear" w:color="auto" w:fill="FFFFFF"/>
        </w:rPr>
        <w:t xml:space="preserve"> ekspertas,</w:t>
      </w:r>
      <w:r w:rsidRPr="00A976CF">
        <w:rPr>
          <w:rFonts w:ascii="Arial" w:hAnsi="Arial" w:cs="Arial"/>
          <w:shd w:val="clear" w:color="auto" w:fill="FFFFFF"/>
        </w:rPr>
        <w:t xml:space="preserve"> bent vienas Statybos sektoriaus</w:t>
      </w:r>
      <w:r w:rsidR="007E60CF" w:rsidRPr="00A976CF">
        <w:rPr>
          <w:rFonts w:ascii="Arial" w:hAnsi="Arial" w:cs="Arial"/>
          <w:shd w:val="clear" w:color="auto" w:fill="FFFFFF"/>
        </w:rPr>
        <w:t xml:space="preserve"> ekspertas</w:t>
      </w:r>
      <w:r w:rsidRPr="00A976CF">
        <w:rPr>
          <w:rFonts w:ascii="Arial" w:hAnsi="Arial" w:cs="Arial"/>
          <w:shd w:val="clear" w:color="auto" w:fill="FFFFFF"/>
        </w:rPr>
        <w:t xml:space="preserve">. Penktas ekspertų grupėje privalo būti švietimo </w:t>
      </w:r>
      <w:r w:rsidR="00C461AE" w:rsidRPr="00A976CF">
        <w:rPr>
          <w:rFonts w:ascii="Arial" w:hAnsi="Arial" w:cs="Arial"/>
          <w:shd w:val="clear" w:color="auto" w:fill="FFFFFF"/>
        </w:rPr>
        <w:t xml:space="preserve">sektoriaus </w:t>
      </w:r>
      <w:r w:rsidRPr="00A976CF">
        <w:rPr>
          <w:rFonts w:ascii="Arial" w:hAnsi="Arial" w:cs="Arial"/>
          <w:shd w:val="clear" w:color="auto" w:fill="FFFFFF"/>
        </w:rPr>
        <w:t xml:space="preserve">ekspertas. </w:t>
      </w:r>
    </w:p>
    <w:p w14:paraId="08ACDF83" w14:textId="77777777" w:rsidR="00720160" w:rsidRPr="00A976CF" w:rsidRDefault="00720160" w:rsidP="001D7614">
      <w:pPr>
        <w:spacing w:after="0" w:line="240" w:lineRule="auto"/>
        <w:ind w:firstLine="720"/>
        <w:jc w:val="both"/>
        <w:rPr>
          <w:rFonts w:ascii="Arial" w:hAnsi="Arial" w:cs="Arial"/>
          <w:shd w:val="clear" w:color="auto" w:fill="FFFFFF"/>
        </w:rPr>
      </w:pPr>
    </w:p>
    <w:p w14:paraId="6B07542B" w14:textId="77777777" w:rsidR="00720160" w:rsidRPr="00A976CF" w:rsidRDefault="00720160" w:rsidP="001D7614">
      <w:pPr>
        <w:spacing w:after="0" w:line="240" w:lineRule="auto"/>
        <w:ind w:firstLine="720"/>
        <w:jc w:val="both"/>
        <w:rPr>
          <w:rFonts w:ascii="Arial" w:hAnsi="Arial" w:cs="Arial"/>
          <w:b/>
          <w:shd w:val="clear" w:color="auto" w:fill="FFFFFF"/>
        </w:rPr>
      </w:pPr>
      <w:r w:rsidRPr="00A976CF">
        <w:rPr>
          <w:rFonts w:ascii="Arial" w:hAnsi="Arial" w:cs="Arial"/>
          <w:b/>
          <w:shd w:val="clear" w:color="auto" w:fill="FFFFFF"/>
        </w:rPr>
        <w:t>Klausimas Nr. 2.</w:t>
      </w:r>
    </w:p>
    <w:p w14:paraId="1334DC93"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Kartu atkreipiame dėmesį į tai, kad Kvalifikacijos reikalavimuose (Specialiosios sąlygos, 1 lentelė) nurodytos sritys, kuriose reikalinga ekspertų 5 metų darbo patirtis:</w:t>
      </w:r>
    </w:p>
    <w:p w14:paraId="6DFEBD0E"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1. statybos sektoriuje</w:t>
      </w:r>
    </w:p>
    <w:p w14:paraId="60A7B121"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2. medienos ir medienos gaminių, baldų, popieriaus ir popieriaus gaminių gamybos sektoriuje</w:t>
      </w:r>
    </w:p>
    <w:p w14:paraId="1C432053"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3. tekstilės, aprangos ir odos dirbinių gamybos sektoriuje</w:t>
      </w:r>
    </w:p>
    <w:p w14:paraId="563BC1C1"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4. informacinių ir ryšių technologijų sektoriuje</w:t>
      </w:r>
    </w:p>
    <w:p w14:paraId="4D84EC65"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5. elektros įrangos, kompiuterinių, elektroninių ir optinių gaminių gamybos sektoriuje</w:t>
      </w:r>
    </w:p>
    <w:p w14:paraId="7F6DAC04"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6. metalo gaminių, mašinų ir įrangos gamybos sektoriuje</w:t>
      </w:r>
    </w:p>
    <w:p w14:paraId="2D6D00AD"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7. energetikos sektoriuje</w:t>
      </w:r>
    </w:p>
    <w:p w14:paraId="49BFC3FD"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8. transporto priemonių remonto sektoriuje</w:t>
      </w:r>
    </w:p>
    <w:p w14:paraId="5CCEA443"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9. vaizduojamojo meno paslaugų ir dailiųjų dirbinių gamybos sektoriuje</w:t>
      </w:r>
    </w:p>
    <w:p w14:paraId="7E8098FE"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10. sveikatos priežiūros ir grožio paslaugų sektoriuje</w:t>
      </w:r>
    </w:p>
    <w:p w14:paraId="267A55BD"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11. apgyvendinimo ir maitinimo paslaugų sektoriuje</w:t>
      </w:r>
    </w:p>
    <w:p w14:paraId="3E380B1A"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12. prekybos, finansinių ir apskaitos ir draudimo paslaugų sektoriuje</w:t>
      </w:r>
    </w:p>
    <w:p w14:paraId="070EBD50"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8 priedo „Siūlomų ekspertų sąrašas“ lentelėje yra nurodyta papildomų sritys, kurias turėtų padengti ekspertai, bet nėra aišku, kokie reikalavimai tų sričių ekspertams keliami. Papildomos sritys, kurių ekspertams nenurodyti kvalifikaciniai reikalavimai yra šios:</w:t>
      </w:r>
    </w:p>
    <w:p w14:paraId="5B8169DF"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1. Inžinerinė pramonės sektorius</w:t>
      </w:r>
    </w:p>
    <w:p w14:paraId="0EC7789D"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2. Maisto produktų gamybos sektorius</w:t>
      </w:r>
    </w:p>
    <w:p w14:paraId="156AE865"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3. Socialinių paslaugų sektorius</w:t>
      </w:r>
    </w:p>
    <w:p w14:paraId="41621780"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4. Paslaugų administravimo, įstaigų aptarnavimo ir saugos užtikrinimo veiklos sektorius</w:t>
      </w:r>
    </w:p>
    <w:p w14:paraId="6B2C54CD"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5. Turizmo, sporto, pramogų ir poilsio paslaugų sektorius</w:t>
      </w:r>
    </w:p>
    <w:p w14:paraId="1EBE2B5E" w14:textId="77777777" w:rsidR="001D7614" w:rsidRPr="00A976CF" w:rsidRDefault="001D7614" w:rsidP="001D7614">
      <w:pPr>
        <w:spacing w:after="0" w:line="240" w:lineRule="auto"/>
        <w:ind w:firstLine="720"/>
        <w:jc w:val="both"/>
        <w:rPr>
          <w:rFonts w:ascii="Arial" w:hAnsi="Arial" w:cs="Arial"/>
          <w:shd w:val="clear" w:color="auto" w:fill="FFFFFF"/>
        </w:rPr>
      </w:pPr>
      <w:r w:rsidRPr="00A976CF">
        <w:rPr>
          <w:rFonts w:ascii="Arial" w:hAnsi="Arial" w:cs="Arial"/>
          <w:shd w:val="clear" w:color="auto" w:fill="FFFFFF"/>
        </w:rPr>
        <w:t>6. Transportavimo ir saugojimo paslaugų sektorius</w:t>
      </w:r>
    </w:p>
    <w:p w14:paraId="00928866" w14:textId="77777777" w:rsidR="001D7614" w:rsidRPr="00A976CF" w:rsidRDefault="00720160" w:rsidP="001D7614">
      <w:pPr>
        <w:spacing w:after="0" w:line="240" w:lineRule="auto"/>
        <w:ind w:firstLine="720"/>
        <w:jc w:val="both"/>
        <w:rPr>
          <w:rFonts w:ascii="Arial" w:hAnsi="Arial" w:cs="Arial"/>
          <w:b/>
          <w:shd w:val="clear" w:color="auto" w:fill="FFFFFF"/>
        </w:rPr>
      </w:pPr>
      <w:r w:rsidRPr="00A976CF">
        <w:rPr>
          <w:rFonts w:ascii="Arial" w:hAnsi="Arial" w:cs="Arial"/>
          <w:b/>
          <w:shd w:val="clear" w:color="auto" w:fill="FFFFFF"/>
        </w:rPr>
        <w:t>Atsakymas.</w:t>
      </w:r>
    </w:p>
    <w:p w14:paraId="10875CF7" w14:textId="13D9ED67" w:rsidR="00186F6A" w:rsidRPr="00A976CF" w:rsidRDefault="00720160" w:rsidP="001D7614">
      <w:pPr>
        <w:spacing w:after="0" w:line="240" w:lineRule="auto"/>
        <w:ind w:firstLine="720"/>
        <w:jc w:val="both"/>
        <w:rPr>
          <w:rFonts w:ascii="Arial" w:hAnsi="Arial" w:cs="Arial"/>
        </w:rPr>
      </w:pPr>
      <w:r w:rsidRPr="00A976CF">
        <w:rPr>
          <w:rFonts w:ascii="Arial" w:hAnsi="Arial" w:cs="Arial"/>
        </w:rPr>
        <w:t>P</w:t>
      </w:r>
      <w:r w:rsidR="00186F6A" w:rsidRPr="00A976CF">
        <w:rPr>
          <w:rFonts w:ascii="Arial" w:hAnsi="Arial" w:cs="Arial"/>
        </w:rPr>
        <w:t>irkimo komisija, p</w:t>
      </w:r>
      <w:r w:rsidRPr="00A976CF">
        <w:rPr>
          <w:rFonts w:ascii="Arial" w:hAnsi="Arial" w:cs="Arial"/>
        </w:rPr>
        <w:t>akarotinai peržiūrėjus</w:t>
      </w:r>
      <w:r w:rsidR="00186F6A" w:rsidRPr="00A976CF">
        <w:rPr>
          <w:rFonts w:ascii="Arial" w:hAnsi="Arial" w:cs="Arial"/>
        </w:rPr>
        <w:t>i</w:t>
      </w:r>
      <w:r w:rsidRPr="00A976CF">
        <w:rPr>
          <w:rFonts w:ascii="Arial" w:hAnsi="Arial" w:cs="Arial"/>
        </w:rPr>
        <w:t xml:space="preserve"> </w:t>
      </w:r>
      <w:r w:rsidR="007E60CF" w:rsidRPr="00A976CF">
        <w:rPr>
          <w:rFonts w:ascii="Arial" w:hAnsi="Arial" w:cs="Arial"/>
        </w:rPr>
        <w:t>P</w:t>
      </w:r>
      <w:r w:rsidR="00817E5F" w:rsidRPr="00A976CF">
        <w:rPr>
          <w:rFonts w:ascii="Arial" w:hAnsi="Arial" w:cs="Arial"/>
        </w:rPr>
        <w:t xml:space="preserve">irkimo </w:t>
      </w:r>
      <w:r w:rsidR="007E60CF" w:rsidRPr="00A976CF">
        <w:rPr>
          <w:rFonts w:ascii="Arial" w:hAnsi="Arial" w:cs="Arial"/>
        </w:rPr>
        <w:t xml:space="preserve">sąlygose </w:t>
      </w:r>
      <w:r w:rsidR="00817E5F" w:rsidRPr="00A976CF">
        <w:rPr>
          <w:rFonts w:ascii="Arial" w:hAnsi="Arial" w:cs="Arial"/>
        </w:rPr>
        <w:t xml:space="preserve">nustatytus </w:t>
      </w:r>
      <w:r w:rsidRPr="00A976CF">
        <w:rPr>
          <w:rFonts w:ascii="Arial" w:hAnsi="Arial" w:cs="Arial"/>
        </w:rPr>
        <w:t xml:space="preserve">kvalifikacijos ir kitus </w:t>
      </w:r>
      <w:r w:rsidR="00817E5F" w:rsidRPr="00A976CF">
        <w:rPr>
          <w:rFonts w:ascii="Arial" w:hAnsi="Arial" w:cs="Arial"/>
        </w:rPr>
        <w:t>reikalavim</w:t>
      </w:r>
      <w:r w:rsidRPr="00A976CF">
        <w:rPr>
          <w:rFonts w:ascii="Arial" w:hAnsi="Arial" w:cs="Arial"/>
        </w:rPr>
        <w:t>us</w:t>
      </w:r>
      <w:r w:rsidR="00186F6A" w:rsidRPr="00A976CF">
        <w:rPr>
          <w:rFonts w:ascii="Arial" w:hAnsi="Arial" w:cs="Arial"/>
        </w:rPr>
        <w:t xml:space="preserve">, </w:t>
      </w:r>
      <w:r w:rsidR="00A976CF" w:rsidRPr="00A976CF">
        <w:rPr>
          <w:rFonts w:ascii="Arial" w:hAnsi="Arial" w:cs="Arial"/>
        </w:rPr>
        <w:t>nustatė</w:t>
      </w:r>
      <w:r w:rsidRPr="00A976CF">
        <w:rPr>
          <w:rFonts w:ascii="Arial" w:hAnsi="Arial" w:cs="Arial"/>
        </w:rPr>
        <w:t xml:space="preserve">, </w:t>
      </w:r>
      <w:r w:rsidR="00A976CF" w:rsidRPr="00A976CF">
        <w:rPr>
          <w:rFonts w:ascii="Arial" w:hAnsi="Arial" w:cs="Arial"/>
        </w:rPr>
        <w:t>kad</w:t>
      </w:r>
      <w:r w:rsidRPr="00A976CF">
        <w:rPr>
          <w:rFonts w:ascii="Arial" w:hAnsi="Arial" w:cs="Arial"/>
        </w:rPr>
        <w:t xml:space="preserve"> </w:t>
      </w:r>
      <w:r w:rsidR="001B11A2" w:rsidRPr="00A976CF">
        <w:rPr>
          <w:rFonts w:ascii="Arial" w:hAnsi="Arial" w:cs="Arial"/>
          <w:b/>
          <w:bCs/>
        </w:rPr>
        <w:t>Profesinio mokymo įstaigų veiklos išorinio vertinimo paslaugų pirkime</w:t>
      </w:r>
      <w:r w:rsidRPr="00A976CF">
        <w:rPr>
          <w:rFonts w:ascii="Arial" w:hAnsi="Arial" w:cs="Arial"/>
        </w:rPr>
        <w:t xml:space="preserve"> kvalifikacijos </w:t>
      </w:r>
      <w:r w:rsidR="00817E5F" w:rsidRPr="00A976CF">
        <w:rPr>
          <w:rFonts w:ascii="Arial" w:hAnsi="Arial" w:cs="Arial"/>
        </w:rPr>
        <w:t>reikalavimai nėra</w:t>
      </w:r>
      <w:r w:rsidRPr="00A976CF">
        <w:rPr>
          <w:rFonts w:ascii="Arial" w:hAnsi="Arial" w:cs="Arial"/>
        </w:rPr>
        <w:t xml:space="preserve"> </w:t>
      </w:r>
      <w:r w:rsidR="00186F6A" w:rsidRPr="00A976CF">
        <w:rPr>
          <w:rFonts w:ascii="Arial" w:hAnsi="Arial" w:cs="Arial"/>
        </w:rPr>
        <w:t>nustatyti</w:t>
      </w:r>
      <w:r w:rsidRPr="00A976CF">
        <w:rPr>
          <w:rFonts w:ascii="Arial" w:hAnsi="Arial" w:cs="Arial"/>
        </w:rPr>
        <w:t xml:space="preserve"> </w:t>
      </w:r>
      <w:r w:rsidR="00186F6A" w:rsidRPr="00A976CF">
        <w:rPr>
          <w:rFonts w:ascii="Arial" w:hAnsi="Arial" w:cs="Arial"/>
        </w:rPr>
        <w:t>Inžinerinė</w:t>
      </w:r>
      <w:r w:rsidR="00972993" w:rsidRPr="00A976CF">
        <w:rPr>
          <w:rFonts w:ascii="Arial" w:hAnsi="Arial" w:cs="Arial"/>
        </w:rPr>
        <w:t>s</w:t>
      </w:r>
      <w:r w:rsidR="00186F6A" w:rsidRPr="00A976CF">
        <w:rPr>
          <w:rFonts w:ascii="Arial" w:hAnsi="Arial" w:cs="Arial"/>
        </w:rPr>
        <w:t xml:space="preserve"> pramonės, Maisto produktų gamybos, Socialinių paslaugų, Paslaugų administravimo, įstaigų aptarnavimo ir saugos užtikrinimo veiklos, Turizmo, sporto, pramogų ir poilsio paslaugų, Transportavimo ir saugojimo paslaugų </w:t>
      </w:r>
      <w:r w:rsidR="001B11A2" w:rsidRPr="00A976CF">
        <w:rPr>
          <w:rFonts w:ascii="Arial" w:hAnsi="Arial" w:cs="Arial"/>
        </w:rPr>
        <w:t>sektorių</w:t>
      </w:r>
      <w:r w:rsidR="00186F6A" w:rsidRPr="00A976CF">
        <w:rPr>
          <w:rFonts w:ascii="Arial" w:hAnsi="Arial" w:cs="Arial"/>
        </w:rPr>
        <w:t xml:space="preserve"> ekspertams</w:t>
      </w:r>
      <w:r w:rsidR="00817E5F" w:rsidRPr="00A976CF">
        <w:rPr>
          <w:rFonts w:ascii="Arial" w:hAnsi="Arial" w:cs="Arial"/>
        </w:rPr>
        <w:t xml:space="preserve"> tam, kad būtų galima įsitikinti tiekėjų pajėgumu tinkamai vykdyti Pirkimo sutartį</w:t>
      </w:r>
      <w:r w:rsidR="00186F6A" w:rsidRPr="00A976CF">
        <w:rPr>
          <w:rFonts w:ascii="Arial" w:hAnsi="Arial" w:cs="Arial"/>
        </w:rPr>
        <w:t xml:space="preserve"> bei kad nebūtų pažeisti </w:t>
      </w:r>
      <w:r w:rsidR="001B11A2" w:rsidRPr="00A976CF">
        <w:rPr>
          <w:rFonts w:ascii="Arial" w:hAnsi="Arial" w:cs="Arial"/>
        </w:rPr>
        <w:t>LR teisės aktai, susiję su profesinio mokymo įstaigų veiklos išoriniu vertinimu</w:t>
      </w:r>
      <w:r w:rsidR="001B11A2" w:rsidRPr="00A976CF">
        <w:rPr>
          <w:rStyle w:val="Puslapioinaosnuoroda"/>
          <w:rFonts w:ascii="Arial" w:hAnsi="Arial" w:cs="Arial"/>
        </w:rPr>
        <w:footnoteReference w:id="2"/>
      </w:r>
      <w:r w:rsidR="00817E5F" w:rsidRPr="00A976CF">
        <w:rPr>
          <w:rFonts w:ascii="Arial" w:hAnsi="Arial" w:cs="Arial"/>
        </w:rPr>
        <w:t xml:space="preserve">. </w:t>
      </w:r>
    </w:p>
    <w:p w14:paraId="34063424" w14:textId="77777777" w:rsidR="00972993" w:rsidRPr="00A976CF" w:rsidRDefault="00972993" w:rsidP="00972993">
      <w:pPr>
        <w:spacing w:after="0" w:line="240" w:lineRule="auto"/>
        <w:ind w:firstLine="720"/>
        <w:jc w:val="both"/>
        <w:rPr>
          <w:rFonts w:ascii="Arial" w:hAnsi="Arial" w:cs="Arial"/>
        </w:rPr>
      </w:pPr>
      <w:r w:rsidRPr="00A976CF">
        <w:rPr>
          <w:rFonts w:ascii="Arial" w:hAnsi="Arial" w:cs="Arial"/>
        </w:rPr>
        <w:t xml:space="preserve">Atsižvelgiant į tai bei siekiant užtikrinti racionalų Pirkimo objekto įsigijimą ir Perkančiosios organizacijos poreikį įsigyti tinkamas paslaugas, yra poreikis patikslinti pirkimo sąlygas, papildomai įtraukiant kvalifikacijos reikalavimus Inžinerinės pramonės, Maisto produktų gamybos, Socialinių </w:t>
      </w:r>
      <w:r w:rsidRPr="00A976CF">
        <w:rPr>
          <w:rFonts w:ascii="Arial" w:hAnsi="Arial" w:cs="Arial"/>
        </w:rPr>
        <w:lastRenderedPageBreak/>
        <w:t>paslaugų, Paslaugų administravimo, įstaigų aptarnavimo ir saugos užtikrinimo veiklos, Turizmo, sporto, pramogų ir poilsio paslaugų, Transportavimo ir saugojimo paslaugų sektorių ekspertams. Pirkimo sąlygų keitimas po jų paskelbimo galimas tik tuomet, jei padaryti pakeitimai nėra tokie esminiai, jog gali pritraukti potencialių dalyvių. Šiuo atveju Pirkimo sąlygose nustatytų reikalavimų tikslinimas (papildomų įtraukimas) arba keitimas būtų laikomas esminiu Pirkimo sąlygų pakeitimu, todėl nėra galima keisti Pirkimo sąlygų nenutraukus Pirkimo procedūrų, nes toks keitimas būtų neteisėtas ir pažeistų viešųjų pirkimų principus.</w:t>
      </w:r>
    </w:p>
    <w:p w14:paraId="6D0B2832" w14:textId="71C21095" w:rsidR="00186F6A" w:rsidRPr="00A976CF" w:rsidRDefault="00972993" w:rsidP="00186F6A">
      <w:pPr>
        <w:spacing w:after="0" w:line="240" w:lineRule="auto"/>
        <w:ind w:firstLine="720"/>
        <w:jc w:val="both"/>
        <w:rPr>
          <w:rFonts w:ascii="Arial" w:hAnsi="Arial" w:cs="Arial"/>
        </w:rPr>
      </w:pPr>
      <w:r w:rsidRPr="00A976CF">
        <w:rPr>
          <w:rFonts w:ascii="Arial" w:hAnsi="Arial" w:cs="Arial"/>
        </w:rPr>
        <w:t>Todėl, v</w:t>
      </w:r>
      <w:r w:rsidR="00186F6A" w:rsidRPr="00A976CF">
        <w:rPr>
          <w:rFonts w:ascii="Arial" w:hAnsi="Arial" w:cs="Arial"/>
        </w:rPr>
        <w:t>adovaujantis LR Vi</w:t>
      </w:r>
      <w:r w:rsidRPr="00A976CF">
        <w:rPr>
          <w:rFonts w:ascii="Arial" w:hAnsi="Arial" w:cs="Arial"/>
        </w:rPr>
        <w:t>ešųjų pirkimų įstatymo 29 str. 4</w:t>
      </w:r>
      <w:r w:rsidR="00186F6A" w:rsidRPr="00A976CF">
        <w:rPr>
          <w:rFonts w:ascii="Arial" w:hAnsi="Arial" w:cs="Arial"/>
        </w:rPr>
        <w:t xml:space="preserve"> d., </w:t>
      </w:r>
      <w:r w:rsidR="00CA275E" w:rsidRPr="00A976CF">
        <w:rPr>
          <w:rFonts w:ascii="Arial" w:hAnsi="Arial" w:cs="Arial"/>
        </w:rPr>
        <w:t xml:space="preserve">Bendrųjų </w:t>
      </w:r>
      <w:r w:rsidR="00186F6A" w:rsidRPr="00A976CF">
        <w:rPr>
          <w:rFonts w:ascii="Arial" w:hAnsi="Arial" w:cs="Arial"/>
        </w:rPr>
        <w:t xml:space="preserve">pirkimo sąlygų </w:t>
      </w:r>
      <w:r w:rsidR="00CA275E" w:rsidRPr="00A976CF">
        <w:rPr>
          <w:rFonts w:ascii="Arial" w:hAnsi="Arial" w:cs="Arial"/>
        </w:rPr>
        <w:t>2.11</w:t>
      </w:r>
      <w:r w:rsidR="00186F6A" w:rsidRPr="00A976CF">
        <w:rPr>
          <w:rFonts w:ascii="Arial" w:hAnsi="Arial" w:cs="Arial"/>
        </w:rPr>
        <w:t xml:space="preserve"> p., P</w:t>
      </w:r>
      <w:r w:rsidR="00A06237">
        <w:rPr>
          <w:rFonts w:ascii="Arial" w:hAnsi="Arial" w:cs="Arial"/>
        </w:rPr>
        <w:t>erkančioji organizacija</w:t>
      </w:r>
      <w:bookmarkStart w:id="0" w:name="_GoBack"/>
      <w:bookmarkEnd w:id="0"/>
      <w:r w:rsidR="00A976CF" w:rsidRPr="00A976CF">
        <w:rPr>
          <w:rFonts w:ascii="Arial" w:hAnsi="Arial" w:cs="Arial"/>
        </w:rPr>
        <w:t xml:space="preserve"> nusprendė </w:t>
      </w:r>
      <w:r w:rsidR="00186F6A" w:rsidRPr="00A976CF">
        <w:rPr>
          <w:rFonts w:ascii="Arial" w:hAnsi="Arial" w:cs="Arial"/>
        </w:rPr>
        <w:t>savo iniciatyva</w:t>
      </w:r>
      <w:r w:rsidR="00186F6A" w:rsidRPr="00A976CF">
        <w:rPr>
          <w:rFonts w:ascii="Arial" w:hAnsi="Arial" w:cs="Arial"/>
          <w:b/>
        </w:rPr>
        <w:t xml:space="preserve"> nutrauk</w:t>
      </w:r>
      <w:r w:rsidR="00A976CF" w:rsidRPr="00A976CF">
        <w:rPr>
          <w:rFonts w:ascii="Arial" w:hAnsi="Arial" w:cs="Arial"/>
          <w:b/>
        </w:rPr>
        <w:t>ti</w:t>
      </w:r>
      <w:r w:rsidR="00186F6A" w:rsidRPr="00A976CF">
        <w:rPr>
          <w:rFonts w:ascii="Arial" w:hAnsi="Arial" w:cs="Arial"/>
        </w:rPr>
        <w:t xml:space="preserve"> pradėtas </w:t>
      </w:r>
      <w:r w:rsidRPr="00A976CF">
        <w:rPr>
          <w:rFonts w:ascii="Arial" w:hAnsi="Arial" w:cs="Arial"/>
          <w:b/>
          <w:bCs/>
        </w:rPr>
        <w:t xml:space="preserve">Profesinio mokymo įstaigų veiklos išorinio vertinimo paslaugų </w:t>
      </w:r>
      <w:r w:rsidR="00186F6A" w:rsidRPr="00A976CF">
        <w:rPr>
          <w:rFonts w:ascii="Arial" w:hAnsi="Arial" w:cs="Arial"/>
        </w:rPr>
        <w:t xml:space="preserve">pirkimo procedūras, </w:t>
      </w:r>
      <w:r w:rsidRPr="00A976CF">
        <w:rPr>
          <w:rFonts w:ascii="Arial" w:hAnsi="Arial" w:cs="Arial"/>
        </w:rPr>
        <w:t>kadangi</w:t>
      </w:r>
      <w:r w:rsidR="00186F6A" w:rsidRPr="00A976CF">
        <w:rPr>
          <w:rFonts w:ascii="Arial" w:hAnsi="Arial" w:cs="Arial"/>
        </w:rPr>
        <w:t xml:space="preserve"> pirkimo dokumentuose padaryta esminių klaidų, dėl kurių pirkimas tampa nebetikslingas ar jį įvykdžius būtų įsigytas perkančiosios organizacijos poreikių neatitinkantis pirkimo objektas.</w:t>
      </w:r>
    </w:p>
    <w:p w14:paraId="601209ED" w14:textId="77777777" w:rsidR="00972993" w:rsidRPr="00A976CF" w:rsidRDefault="00972993" w:rsidP="00186F6A">
      <w:pPr>
        <w:spacing w:after="0" w:line="240" w:lineRule="auto"/>
        <w:ind w:firstLine="720"/>
        <w:jc w:val="both"/>
        <w:rPr>
          <w:rFonts w:ascii="Arial" w:hAnsi="Arial" w:cs="Arial"/>
        </w:rPr>
      </w:pPr>
      <w:r w:rsidRPr="00A976CF">
        <w:rPr>
          <w:rFonts w:ascii="Arial" w:hAnsi="Arial" w:cs="Arial"/>
        </w:rPr>
        <w:t>Informuojame, kad patikslinus pirkimo sąlygas bus skelbiamas naujas pirkimas.</w:t>
      </w:r>
    </w:p>
    <w:p w14:paraId="2F139FCB" w14:textId="77777777" w:rsidR="00CA275E" w:rsidRPr="00A976CF" w:rsidRDefault="00CA275E" w:rsidP="00CA275E">
      <w:pPr>
        <w:spacing w:after="0" w:line="240" w:lineRule="auto"/>
        <w:jc w:val="center"/>
        <w:rPr>
          <w:rFonts w:ascii="Arial" w:hAnsi="Arial" w:cs="Arial"/>
        </w:rPr>
      </w:pPr>
      <w:r w:rsidRPr="00A976CF">
        <w:rPr>
          <w:rFonts w:ascii="Arial" w:hAnsi="Arial" w:cs="Arial"/>
        </w:rPr>
        <w:t>_______________</w:t>
      </w:r>
    </w:p>
    <w:sectPr w:rsidR="00CA275E" w:rsidRPr="00A976CF" w:rsidSect="007D694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503C0" w14:textId="77777777" w:rsidR="002B58AC" w:rsidRDefault="002B58AC" w:rsidP="001D7614">
      <w:pPr>
        <w:spacing w:after="0" w:line="240" w:lineRule="auto"/>
      </w:pPr>
      <w:r>
        <w:separator/>
      </w:r>
    </w:p>
  </w:endnote>
  <w:endnote w:type="continuationSeparator" w:id="0">
    <w:p w14:paraId="4A36CA94" w14:textId="77777777" w:rsidR="002B58AC" w:rsidRDefault="002B58AC" w:rsidP="001D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7C39F" w14:textId="77777777" w:rsidR="002B58AC" w:rsidRDefault="002B58AC" w:rsidP="001D7614">
      <w:pPr>
        <w:spacing w:after="0" w:line="240" w:lineRule="auto"/>
      </w:pPr>
      <w:r>
        <w:separator/>
      </w:r>
    </w:p>
  </w:footnote>
  <w:footnote w:type="continuationSeparator" w:id="0">
    <w:p w14:paraId="1718C1B6" w14:textId="77777777" w:rsidR="002B58AC" w:rsidRDefault="002B58AC" w:rsidP="001D7614">
      <w:pPr>
        <w:spacing w:after="0" w:line="240" w:lineRule="auto"/>
      </w:pPr>
      <w:r>
        <w:continuationSeparator/>
      </w:r>
    </w:p>
  </w:footnote>
  <w:footnote w:id="1">
    <w:p w14:paraId="35BEEAA7" w14:textId="77777777" w:rsidR="00720160" w:rsidRPr="001B11A2" w:rsidRDefault="00720160" w:rsidP="00720160">
      <w:pPr>
        <w:pStyle w:val="Puslapioinaostekstas"/>
        <w:jc w:val="both"/>
        <w:rPr>
          <w:rFonts w:ascii="Arial" w:hAnsi="Arial" w:cs="Arial"/>
          <w:sz w:val="18"/>
          <w:szCs w:val="18"/>
        </w:rPr>
      </w:pPr>
      <w:r w:rsidRPr="001B11A2">
        <w:rPr>
          <w:rStyle w:val="Puslapioinaosnuoroda"/>
          <w:rFonts w:ascii="Arial" w:hAnsi="Arial" w:cs="Arial"/>
          <w:sz w:val="18"/>
          <w:szCs w:val="18"/>
        </w:rPr>
        <w:footnoteRef/>
      </w:r>
      <w:r w:rsidRPr="001B11A2">
        <w:rPr>
          <w:rFonts w:ascii="Arial" w:hAnsi="Arial" w:cs="Arial"/>
          <w:sz w:val="18"/>
          <w:szCs w:val="18"/>
        </w:rPr>
        <w:t xml:space="preserve"> Tiekėjas sudarant išorinio vertinimo ekspertų grupes turi atsižvelgti į konkrečios PMĮ vykdomų profesinio mokymo programų atitiktį ūkio sektoriams.</w:t>
      </w:r>
    </w:p>
  </w:footnote>
  <w:footnote w:id="2">
    <w:p w14:paraId="783CCF79" w14:textId="77777777" w:rsidR="001B11A2" w:rsidRPr="001B11A2" w:rsidRDefault="001B11A2" w:rsidP="001B11A2">
      <w:pPr>
        <w:pStyle w:val="Puslapioinaostekstas"/>
        <w:jc w:val="both"/>
        <w:rPr>
          <w:rFonts w:ascii="Arial" w:hAnsi="Arial" w:cs="Arial"/>
          <w:sz w:val="18"/>
          <w:szCs w:val="18"/>
        </w:rPr>
      </w:pPr>
      <w:r w:rsidRPr="001B11A2">
        <w:rPr>
          <w:rStyle w:val="Puslapioinaosnuoroda"/>
          <w:rFonts w:ascii="Arial" w:hAnsi="Arial" w:cs="Arial"/>
          <w:sz w:val="18"/>
          <w:szCs w:val="18"/>
        </w:rPr>
        <w:footnoteRef/>
      </w:r>
      <w:r w:rsidRPr="001B11A2">
        <w:rPr>
          <w:rFonts w:ascii="Arial" w:hAnsi="Arial" w:cs="Arial"/>
          <w:sz w:val="18"/>
          <w:szCs w:val="18"/>
        </w:rPr>
        <w:t xml:space="preserve"> PMĮ veiklos išorinis vertinimas reglamentuojamas Profesinio mokymo įstaigų ir kitų profesinio mokymo teikėjų, vykdančių formalųjį profesinį mokymą, veiklos išorinio vertinimo tvarkos aprašu, patvirtintu Lietuvos Respublikos švietimo, mokslo ir sporto ministro 2020 m. kovo 25 d. įsakymu Nr. V-442 „Dėl Profesinio mokymo įstaigų ir kitų profesinio mokymo teikėjų, vykdančių formalųjį profesinį mokymą, veiklos išorinio vertinimo tvarkos aprašo patvirtinimo“ (toliau - Aprašas). Nuoroda į teisės aktą: </w:t>
      </w:r>
      <w:hyperlink r:id="rId1" w:history="1">
        <w:r w:rsidRPr="001B11A2">
          <w:rPr>
            <w:rStyle w:val="Hipersaitas"/>
            <w:rFonts w:ascii="Arial" w:hAnsi="Arial" w:cs="Arial"/>
            <w:sz w:val="18"/>
            <w:szCs w:val="18"/>
          </w:rPr>
          <w:t>https://www.e-tar.lt/portal/lt/legalAct/bce55c20962f11ecaf3aba0cb308998c</w:t>
        </w:r>
      </w:hyperlink>
      <w:r w:rsidRPr="001B11A2">
        <w:rPr>
          <w:rFonts w:ascii="Arial" w:hAnsi="Arial" w:cs="Arial"/>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14"/>
    <w:rsid w:val="00044ED9"/>
    <w:rsid w:val="000C2602"/>
    <w:rsid w:val="00186F6A"/>
    <w:rsid w:val="00196DAD"/>
    <w:rsid w:val="001B11A2"/>
    <w:rsid w:val="001C1748"/>
    <w:rsid w:val="001D7614"/>
    <w:rsid w:val="002246EE"/>
    <w:rsid w:val="00263A68"/>
    <w:rsid w:val="002B58AC"/>
    <w:rsid w:val="005C43B6"/>
    <w:rsid w:val="00647128"/>
    <w:rsid w:val="00720160"/>
    <w:rsid w:val="00780557"/>
    <w:rsid w:val="007D694C"/>
    <w:rsid w:val="007E60CF"/>
    <w:rsid w:val="00817E5F"/>
    <w:rsid w:val="00831277"/>
    <w:rsid w:val="00883BD8"/>
    <w:rsid w:val="00972993"/>
    <w:rsid w:val="00A06237"/>
    <w:rsid w:val="00A976CF"/>
    <w:rsid w:val="00C461AE"/>
    <w:rsid w:val="00C6168B"/>
    <w:rsid w:val="00CA275E"/>
    <w:rsid w:val="00D25EBC"/>
    <w:rsid w:val="00DD7E26"/>
    <w:rsid w:val="00DE11F1"/>
    <w:rsid w:val="00E13B4E"/>
    <w:rsid w:val="00E21372"/>
    <w:rsid w:val="00EE0F87"/>
    <w:rsid w:val="00FB3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A4A3"/>
  <w15:chartTrackingRefBased/>
  <w15:docId w15:val="{83747EA8-AC8D-4A85-AB4C-4718A33F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D76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7614"/>
  </w:style>
  <w:style w:type="paragraph" w:styleId="Porat">
    <w:name w:val="footer"/>
    <w:basedOn w:val="prastasis"/>
    <w:link w:val="PoratDiagrama"/>
    <w:uiPriority w:val="99"/>
    <w:unhideWhenUsed/>
    <w:rsid w:val="001D76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7614"/>
  </w:style>
  <w:style w:type="table" w:styleId="Lentelstinklelis">
    <w:name w:val="Table Grid"/>
    <w:basedOn w:val="prastojilentel"/>
    <w:uiPriority w:val="39"/>
    <w:rsid w:val="007D694C"/>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rsid w:val="00647128"/>
    <w:rPr>
      <w:color w:val="0000FF"/>
      <w:u w:val="single"/>
    </w:rPr>
  </w:style>
  <w:style w:type="paragraph" w:styleId="Puslapioinaostekstas">
    <w:name w:val="footnote text"/>
    <w:basedOn w:val="prastasis"/>
    <w:link w:val="PuslapioinaostekstasDiagrama"/>
    <w:uiPriority w:val="99"/>
    <w:unhideWhenUsed/>
    <w:rsid w:val="0064712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647128"/>
    <w:rPr>
      <w:rFonts w:ascii="Times New Roman" w:eastAsia="Times New Roman" w:hAnsi="Times New Roman" w:cs="Times New Roman"/>
      <w:sz w:val="20"/>
      <w:szCs w:val="20"/>
    </w:rPr>
  </w:style>
  <w:style w:type="character" w:styleId="Puslapioinaosnuoroda">
    <w:name w:val="footnote reference"/>
    <w:aliases w:val="fr"/>
    <w:uiPriority w:val="99"/>
    <w:unhideWhenUsed/>
    <w:rsid w:val="00647128"/>
    <w:rPr>
      <w:vertAlign w:val="superscript"/>
    </w:rPr>
  </w:style>
  <w:style w:type="paragraph" w:styleId="Debesliotekstas">
    <w:name w:val="Balloon Text"/>
    <w:basedOn w:val="prastasis"/>
    <w:link w:val="DebesliotekstasDiagrama"/>
    <w:uiPriority w:val="99"/>
    <w:semiHidden/>
    <w:unhideWhenUsed/>
    <w:rsid w:val="00C461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1AE"/>
    <w:rPr>
      <w:rFonts w:ascii="Segoe UI" w:hAnsi="Segoe UI" w:cs="Segoe UI"/>
      <w:sz w:val="18"/>
      <w:szCs w:val="18"/>
    </w:rPr>
  </w:style>
  <w:style w:type="character" w:styleId="Komentaronuoroda">
    <w:name w:val="annotation reference"/>
    <w:basedOn w:val="Numatytasispastraiposriftas"/>
    <w:uiPriority w:val="99"/>
    <w:semiHidden/>
    <w:unhideWhenUsed/>
    <w:rsid w:val="00C461AE"/>
    <w:rPr>
      <w:sz w:val="16"/>
      <w:szCs w:val="16"/>
    </w:rPr>
  </w:style>
  <w:style w:type="paragraph" w:styleId="Komentarotekstas">
    <w:name w:val="annotation text"/>
    <w:basedOn w:val="prastasis"/>
    <w:link w:val="KomentarotekstasDiagrama"/>
    <w:uiPriority w:val="99"/>
    <w:semiHidden/>
    <w:unhideWhenUsed/>
    <w:rsid w:val="00C461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61AE"/>
    <w:rPr>
      <w:sz w:val="20"/>
      <w:szCs w:val="20"/>
    </w:rPr>
  </w:style>
  <w:style w:type="paragraph" w:styleId="Komentarotema">
    <w:name w:val="annotation subject"/>
    <w:basedOn w:val="Komentarotekstas"/>
    <w:next w:val="Komentarotekstas"/>
    <w:link w:val="KomentarotemaDiagrama"/>
    <w:uiPriority w:val="99"/>
    <w:semiHidden/>
    <w:unhideWhenUsed/>
    <w:rsid w:val="00C461AE"/>
    <w:rPr>
      <w:b/>
      <w:bCs/>
    </w:rPr>
  </w:style>
  <w:style w:type="character" w:customStyle="1" w:styleId="KomentarotemaDiagrama">
    <w:name w:val="Komentaro tema Diagrama"/>
    <w:basedOn w:val="KomentarotekstasDiagrama"/>
    <w:link w:val="Komentarotema"/>
    <w:uiPriority w:val="99"/>
    <w:semiHidden/>
    <w:rsid w:val="00C46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bce55c20962f11ecaf3aba0cb3089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5B212-8AF2-4765-922E-C60FA993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5282</Words>
  <Characters>3012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Isajenkienė</dc:creator>
  <cp:keywords/>
  <dc:description/>
  <cp:lastModifiedBy>Dalia Isajenkienė</cp:lastModifiedBy>
  <cp:revision>5</cp:revision>
  <cp:lastPrinted>2025-10-17T14:04:00Z</cp:lastPrinted>
  <dcterms:created xsi:type="dcterms:W3CDTF">2025-10-17T11:54:00Z</dcterms:created>
  <dcterms:modified xsi:type="dcterms:W3CDTF">2025-10-17T14:22:00Z</dcterms:modified>
</cp:coreProperties>
</file>