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60AEEC1D" w:rsidR="005A5832" w:rsidRPr="00A95C44" w:rsidRDefault="007A727C" w:rsidP="00A95C44">
            <w:pPr>
              <w:pStyle w:val="Heading1"/>
            </w:pPr>
            <w:r>
              <w:t>AUTOMOBILIŲ IR JŲ TECHNINIO APTARNAVIMO</w:t>
            </w:r>
            <w:r w:rsidR="00A95C44" w:rsidRPr="00A95C44">
              <w:t xml:space="preserve">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0C640032" w:rsidR="005A5832" w:rsidRPr="00005449" w:rsidRDefault="005920A8">
            <w:pPr>
              <w:jc w:val="both"/>
              <w:rPr>
                <w:kern w:val="2"/>
                <w:szCs w:val="24"/>
              </w:rPr>
            </w:pPr>
            <w:r>
              <w:rPr>
                <w:kern w:val="2"/>
                <w:szCs w:val="24"/>
              </w:rPr>
              <w:t>202</w:t>
            </w:r>
            <w:r w:rsidR="00BB4EA9">
              <w:rPr>
                <w:kern w:val="2"/>
                <w:szCs w:val="24"/>
              </w:rPr>
              <w:t>5</w:t>
            </w:r>
            <w:r>
              <w:rPr>
                <w:kern w:val="2"/>
                <w:szCs w:val="24"/>
              </w:rPr>
              <w:t>-</w:t>
            </w:r>
            <w:r w:rsidR="00A95C44">
              <w:rPr>
                <w:kern w:val="2"/>
                <w:szCs w:val="24"/>
              </w:rPr>
              <w:t>...-...</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22DE29A7" w:rsidR="005A5832" w:rsidRPr="00005449" w:rsidRDefault="005920A8">
            <w:pPr>
              <w:jc w:val="both"/>
              <w:rPr>
                <w:kern w:val="2"/>
                <w:szCs w:val="24"/>
              </w:rPr>
            </w:pPr>
            <w:r>
              <w:rPr>
                <w:kern w:val="2"/>
                <w:szCs w:val="24"/>
              </w:rPr>
              <w:t>11P-2</w:t>
            </w:r>
            <w:r w:rsidR="00BB4EA9">
              <w:rPr>
                <w:kern w:val="2"/>
                <w:szCs w:val="24"/>
              </w:rPr>
              <w:t>5</w:t>
            </w:r>
            <w:r>
              <w:rPr>
                <w:kern w:val="2"/>
                <w:szCs w:val="24"/>
              </w:rPr>
              <w:t>-</w:t>
            </w:r>
            <w:r w:rsidR="00A95C44">
              <w:rPr>
                <w:kern w:val="2"/>
                <w:szCs w:val="24"/>
              </w:rPr>
              <w:t>....</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679C129F" w:rsidR="005A5832" w:rsidRPr="005920A8" w:rsidRDefault="00A95C44">
            <w:pPr>
              <w:jc w:val="center"/>
              <w:rPr>
                <w:kern w:val="2"/>
                <w:szCs w:val="24"/>
              </w:rPr>
            </w:pPr>
            <w:r>
              <w:rPr>
                <w:kern w:val="2"/>
                <w:szCs w:val="24"/>
              </w:rPr>
              <w:t>Direktorė Laima Urbšienė</w:t>
            </w: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4935B6FE" w:rsidR="005A5832" w:rsidRPr="005920A8" w:rsidRDefault="00A95C44">
            <w:pPr>
              <w:jc w:val="center"/>
              <w:rPr>
                <w:kern w:val="2"/>
                <w:szCs w:val="24"/>
              </w:rPr>
            </w:pPr>
            <w:r>
              <w:rPr>
                <w:kern w:val="2"/>
                <w:szCs w:val="24"/>
              </w:rPr>
              <w:t>Įmonės įstatai</w:t>
            </w:r>
          </w:p>
        </w:tc>
      </w:tr>
      <w:tr w:rsidR="005A5832" w:rsidRPr="00005449" w14:paraId="4BB269B9" w14:textId="77777777">
        <w:tc>
          <w:tcPr>
            <w:tcW w:w="2808" w:type="dxa"/>
            <w:vMerge w:val="restart"/>
          </w:tcPr>
          <w:p w14:paraId="71BB53ED" w14:textId="77777777" w:rsidR="005A5832" w:rsidRPr="00005449" w:rsidRDefault="005A5832">
            <w:pPr>
              <w:rPr>
                <w:b/>
                <w:bCs/>
                <w:kern w:val="2"/>
                <w:szCs w:val="24"/>
              </w:rPr>
            </w:pPr>
          </w:p>
          <w:p w14:paraId="3A8FAAA0" w14:textId="77777777" w:rsidR="005A5832" w:rsidRPr="00005449" w:rsidRDefault="005A5832">
            <w:pPr>
              <w:rPr>
                <w:b/>
                <w:bCs/>
                <w:kern w:val="2"/>
                <w:szCs w:val="24"/>
              </w:rPr>
            </w:pPr>
          </w:p>
          <w:p w14:paraId="34919BF6" w14:textId="77777777" w:rsidR="005A5832" w:rsidRPr="00005449" w:rsidRDefault="005A5832">
            <w:pPr>
              <w:rPr>
                <w:b/>
                <w:bCs/>
                <w:kern w:val="2"/>
                <w:szCs w:val="24"/>
              </w:rPr>
            </w:pPr>
          </w:p>
          <w:p w14:paraId="509C31A5" w14:textId="5799289B" w:rsidR="005A5832" w:rsidRPr="00005449" w:rsidRDefault="00A10867" w:rsidP="005920A8">
            <w:pPr>
              <w:rPr>
                <w:b/>
                <w:bCs/>
                <w:kern w:val="2"/>
                <w:szCs w:val="24"/>
              </w:rPr>
            </w:pPr>
            <w:r w:rsidRPr="00005449">
              <w:rPr>
                <w:b/>
                <w:bCs/>
                <w:kern w:val="2"/>
                <w:szCs w:val="24"/>
              </w:rPr>
              <w:t>1.2. Tiekėjas</w:t>
            </w:r>
          </w:p>
        </w:tc>
        <w:tc>
          <w:tcPr>
            <w:tcW w:w="3240" w:type="dxa"/>
          </w:tcPr>
          <w:p w14:paraId="13296BDF" w14:textId="77777777" w:rsidR="005A5832" w:rsidRPr="00005449" w:rsidRDefault="00A10867">
            <w:pPr>
              <w:rPr>
                <w:kern w:val="2"/>
                <w:szCs w:val="24"/>
              </w:rPr>
            </w:pPr>
            <w:r w:rsidRPr="00005449">
              <w:rPr>
                <w:kern w:val="2"/>
                <w:szCs w:val="24"/>
              </w:rPr>
              <w:t>1.2.1. Pavadinimas</w:t>
            </w:r>
          </w:p>
        </w:tc>
        <w:tc>
          <w:tcPr>
            <w:tcW w:w="3510" w:type="dxa"/>
          </w:tcPr>
          <w:p w14:paraId="371C1730" w14:textId="0331ABB4" w:rsidR="005A5832" w:rsidRPr="005920A8" w:rsidRDefault="005A5832">
            <w:pPr>
              <w:jc w:val="center"/>
              <w:rPr>
                <w:kern w:val="2"/>
                <w:szCs w:val="24"/>
              </w:rPr>
            </w:pPr>
          </w:p>
        </w:tc>
      </w:tr>
      <w:tr w:rsidR="005A5832" w:rsidRPr="00005449" w14:paraId="796712C8" w14:textId="77777777">
        <w:tc>
          <w:tcPr>
            <w:tcW w:w="2808" w:type="dxa"/>
            <w:vMerge/>
          </w:tcPr>
          <w:p w14:paraId="168EBD85" w14:textId="77777777" w:rsidR="005A5832" w:rsidRPr="00005449" w:rsidRDefault="005A5832">
            <w:pPr>
              <w:rPr>
                <w:b/>
                <w:bCs/>
                <w:kern w:val="2"/>
                <w:szCs w:val="24"/>
              </w:rPr>
            </w:pPr>
          </w:p>
        </w:tc>
        <w:tc>
          <w:tcPr>
            <w:tcW w:w="3240" w:type="dxa"/>
          </w:tcPr>
          <w:p w14:paraId="7D094C96" w14:textId="77777777" w:rsidR="005A5832" w:rsidRPr="00005449" w:rsidRDefault="00A10867">
            <w:pPr>
              <w:rPr>
                <w:kern w:val="2"/>
                <w:szCs w:val="24"/>
              </w:rPr>
            </w:pPr>
            <w:r w:rsidRPr="00005449">
              <w:rPr>
                <w:kern w:val="2"/>
                <w:szCs w:val="24"/>
              </w:rPr>
              <w:t>1.2.2. Juridinio asmens kodas</w:t>
            </w:r>
          </w:p>
        </w:tc>
        <w:tc>
          <w:tcPr>
            <w:tcW w:w="3510" w:type="dxa"/>
          </w:tcPr>
          <w:p w14:paraId="68CC1C50" w14:textId="2394C26D" w:rsidR="005A5832" w:rsidRPr="005920A8" w:rsidRDefault="005A5832" w:rsidP="005920A8">
            <w:pPr>
              <w:jc w:val="center"/>
              <w:rPr>
                <w:kern w:val="2"/>
                <w:szCs w:val="24"/>
              </w:rPr>
            </w:pPr>
          </w:p>
        </w:tc>
      </w:tr>
      <w:tr w:rsidR="005A5832" w:rsidRPr="00005449" w14:paraId="01B7E34E" w14:textId="77777777">
        <w:tc>
          <w:tcPr>
            <w:tcW w:w="2808" w:type="dxa"/>
            <w:vMerge/>
          </w:tcPr>
          <w:p w14:paraId="02488E2D" w14:textId="77777777" w:rsidR="005A5832" w:rsidRPr="00005449" w:rsidRDefault="005A5832">
            <w:pPr>
              <w:rPr>
                <w:b/>
                <w:bCs/>
                <w:kern w:val="2"/>
                <w:szCs w:val="24"/>
              </w:rPr>
            </w:pPr>
          </w:p>
        </w:tc>
        <w:tc>
          <w:tcPr>
            <w:tcW w:w="3240" w:type="dxa"/>
          </w:tcPr>
          <w:p w14:paraId="34831037" w14:textId="77777777" w:rsidR="005A5832" w:rsidRPr="00005449" w:rsidRDefault="00A10867">
            <w:pPr>
              <w:rPr>
                <w:kern w:val="2"/>
                <w:szCs w:val="24"/>
              </w:rPr>
            </w:pPr>
            <w:r w:rsidRPr="00005449">
              <w:rPr>
                <w:kern w:val="2"/>
                <w:szCs w:val="24"/>
              </w:rPr>
              <w:t>1.2.3. Adresas</w:t>
            </w:r>
          </w:p>
        </w:tc>
        <w:tc>
          <w:tcPr>
            <w:tcW w:w="3510" w:type="dxa"/>
          </w:tcPr>
          <w:p w14:paraId="2311ECD8" w14:textId="1CF3A59F" w:rsidR="005A5832" w:rsidRPr="005920A8" w:rsidRDefault="005A5832">
            <w:pPr>
              <w:jc w:val="center"/>
              <w:rPr>
                <w:kern w:val="2"/>
                <w:szCs w:val="24"/>
              </w:rPr>
            </w:pPr>
          </w:p>
        </w:tc>
      </w:tr>
      <w:tr w:rsidR="005A5832" w:rsidRPr="00005449" w14:paraId="4701AFBF" w14:textId="77777777">
        <w:tc>
          <w:tcPr>
            <w:tcW w:w="2808" w:type="dxa"/>
            <w:vMerge/>
          </w:tcPr>
          <w:p w14:paraId="0697C9BB" w14:textId="77777777" w:rsidR="005A5832" w:rsidRPr="00005449" w:rsidRDefault="005A5832">
            <w:pPr>
              <w:rPr>
                <w:b/>
                <w:bCs/>
                <w:kern w:val="2"/>
                <w:szCs w:val="24"/>
              </w:rPr>
            </w:pPr>
          </w:p>
        </w:tc>
        <w:tc>
          <w:tcPr>
            <w:tcW w:w="3240" w:type="dxa"/>
          </w:tcPr>
          <w:p w14:paraId="0822CCBA" w14:textId="77777777" w:rsidR="005A5832" w:rsidRPr="00005449" w:rsidRDefault="00A10867">
            <w:pPr>
              <w:rPr>
                <w:kern w:val="2"/>
                <w:szCs w:val="24"/>
              </w:rPr>
            </w:pPr>
            <w:r w:rsidRPr="00005449">
              <w:rPr>
                <w:kern w:val="2"/>
                <w:szCs w:val="24"/>
              </w:rPr>
              <w:t>1.2.4. PVM mokėtojo kodas</w:t>
            </w:r>
          </w:p>
        </w:tc>
        <w:tc>
          <w:tcPr>
            <w:tcW w:w="3510" w:type="dxa"/>
          </w:tcPr>
          <w:p w14:paraId="3A14B21C" w14:textId="4A257CF5" w:rsidR="005A5832" w:rsidRPr="005920A8" w:rsidRDefault="005A5832">
            <w:pPr>
              <w:jc w:val="center"/>
              <w:rPr>
                <w:kern w:val="2"/>
                <w:szCs w:val="24"/>
              </w:rPr>
            </w:pPr>
          </w:p>
        </w:tc>
      </w:tr>
      <w:tr w:rsidR="005A5832" w:rsidRPr="00005449" w14:paraId="18F44BF1" w14:textId="77777777">
        <w:tc>
          <w:tcPr>
            <w:tcW w:w="2808" w:type="dxa"/>
            <w:vMerge/>
          </w:tcPr>
          <w:p w14:paraId="26C00196" w14:textId="77777777" w:rsidR="005A5832" w:rsidRPr="00005449" w:rsidRDefault="005A5832">
            <w:pPr>
              <w:rPr>
                <w:b/>
                <w:bCs/>
                <w:kern w:val="2"/>
                <w:szCs w:val="24"/>
              </w:rPr>
            </w:pPr>
          </w:p>
        </w:tc>
        <w:tc>
          <w:tcPr>
            <w:tcW w:w="3240" w:type="dxa"/>
          </w:tcPr>
          <w:p w14:paraId="2F09B11C" w14:textId="77777777" w:rsidR="005A5832" w:rsidRPr="00005449" w:rsidRDefault="00A10867">
            <w:pPr>
              <w:rPr>
                <w:kern w:val="2"/>
                <w:szCs w:val="24"/>
              </w:rPr>
            </w:pPr>
            <w:r w:rsidRPr="00005449">
              <w:rPr>
                <w:kern w:val="2"/>
                <w:szCs w:val="24"/>
              </w:rPr>
              <w:t>1.2.5. Atsiskaitomoji sąskaita</w:t>
            </w:r>
          </w:p>
        </w:tc>
        <w:tc>
          <w:tcPr>
            <w:tcW w:w="3510" w:type="dxa"/>
          </w:tcPr>
          <w:p w14:paraId="21DC3BF1" w14:textId="1B37A5B0" w:rsidR="005A5832" w:rsidRPr="005920A8" w:rsidRDefault="005A5832">
            <w:pPr>
              <w:jc w:val="center"/>
              <w:rPr>
                <w:kern w:val="2"/>
                <w:szCs w:val="24"/>
              </w:rPr>
            </w:pPr>
          </w:p>
        </w:tc>
      </w:tr>
      <w:tr w:rsidR="005A5832" w:rsidRPr="00005449" w14:paraId="0FC52916" w14:textId="77777777">
        <w:tc>
          <w:tcPr>
            <w:tcW w:w="2808" w:type="dxa"/>
            <w:vMerge/>
          </w:tcPr>
          <w:p w14:paraId="6F1229A6" w14:textId="77777777" w:rsidR="005A5832" w:rsidRPr="00005449" w:rsidRDefault="005A5832">
            <w:pPr>
              <w:rPr>
                <w:b/>
                <w:bCs/>
                <w:kern w:val="2"/>
                <w:szCs w:val="24"/>
              </w:rPr>
            </w:pPr>
          </w:p>
        </w:tc>
        <w:tc>
          <w:tcPr>
            <w:tcW w:w="3240" w:type="dxa"/>
          </w:tcPr>
          <w:p w14:paraId="26D4C1FD" w14:textId="77777777" w:rsidR="005A5832" w:rsidRPr="00005449" w:rsidRDefault="00A10867">
            <w:pPr>
              <w:rPr>
                <w:kern w:val="2"/>
                <w:szCs w:val="24"/>
              </w:rPr>
            </w:pPr>
            <w:r w:rsidRPr="00005449">
              <w:rPr>
                <w:kern w:val="2"/>
                <w:szCs w:val="24"/>
              </w:rPr>
              <w:t>1.2.6. Bankas, banko kodas</w:t>
            </w:r>
          </w:p>
        </w:tc>
        <w:tc>
          <w:tcPr>
            <w:tcW w:w="3510" w:type="dxa"/>
          </w:tcPr>
          <w:p w14:paraId="4B22C3FA" w14:textId="40DC0CE1" w:rsidR="005A5832" w:rsidRPr="005920A8" w:rsidRDefault="005A5832">
            <w:pPr>
              <w:jc w:val="center"/>
              <w:rPr>
                <w:kern w:val="2"/>
                <w:szCs w:val="24"/>
              </w:rPr>
            </w:pPr>
          </w:p>
        </w:tc>
      </w:tr>
      <w:tr w:rsidR="005A5832" w:rsidRPr="00005449" w14:paraId="72CEAAAE" w14:textId="77777777">
        <w:tc>
          <w:tcPr>
            <w:tcW w:w="2808" w:type="dxa"/>
            <w:vMerge/>
          </w:tcPr>
          <w:p w14:paraId="19C5ED9D" w14:textId="77777777" w:rsidR="005A5832" w:rsidRPr="00005449" w:rsidRDefault="005A5832">
            <w:pPr>
              <w:rPr>
                <w:b/>
                <w:bCs/>
                <w:kern w:val="2"/>
                <w:szCs w:val="24"/>
              </w:rPr>
            </w:pPr>
          </w:p>
        </w:tc>
        <w:tc>
          <w:tcPr>
            <w:tcW w:w="3240" w:type="dxa"/>
          </w:tcPr>
          <w:p w14:paraId="5939517D" w14:textId="77777777" w:rsidR="005A5832" w:rsidRPr="00005449" w:rsidRDefault="00A10867">
            <w:pPr>
              <w:rPr>
                <w:kern w:val="2"/>
                <w:szCs w:val="24"/>
              </w:rPr>
            </w:pPr>
            <w:r w:rsidRPr="00005449">
              <w:rPr>
                <w:kern w:val="2"/>
                <w:szCs w:val="24"/>
              </w:rPr>
              <w:t>1.2.7. Telefonas</w:t>
            </w:r>
          </w:p>
        </w:tc>
        <w:tc>
          <w:tcPr>
            <w:tcW w:w="3510" w:type="dxa"/>
          </w:tcPr>
          <w:p w14:paraId="06F7FDC2" w14:textId="54E6F991" w:rsidR="005A5832" w:rsidRPr="005920A8" w:rsidRDefault="005A5832">
            <w:pPr>
              <w:jc w:val="center"/>
              <w:rPr>
                <w:kern w:val="2"/>
                <w:szCs w:val="24"/>
              </w:rPr>
            </w:pPr>
          </w:p>
        </w:tc>
      </w:tr>
      <w:tr w:rsidR="005A5832" w:rsidRPr="00005449" w14:paraId="306EA5A1" w14:textId="77777777">
        <w:tc>
          <w:tcPr>
            <w:tcW w:w="2808" w:type="dxa"/>
            <w:vMerge/>
          </w:tcPr>
          <w:p w14:paraId="7D76BFAE" w14:textId="77777777" w:rsidR="005A5832" w:rsidRPr="00005449" w:rsidRDefault="005A5832">
            <w:pPr>
              <w:rPr>
                <w:b/>
                <w:bCs/>
                <w:kern w:val="2"/>
                <w:szCs w:val="24"/>
              </w:rPr>
            </w:pPr>
          </w:p>
        </w:tc>
        <w:tc>
          <w:tcPr>
            <w:tcW w:w="3240" w:type="dxa"/>
          </w:tcPr>
          <w:p w14:paraId="4FA47AC2" w14:textId="77777777" w:rsidR="005A5832" w:rsidRPr="00005449" w:rsidRDefault="00A10867">
            <w:pPr>
              <w:rPr>
                <w:kern w:val="2"/>
                <w:szCs w:val="24"/>
              </w:rPr>
            </w:pPr>
            <w:r w:rsidRPr="00005449">
              <w:rPr>
                <w:kern w:val="2"/>
                <w:szCs w:val="24"/>
              </w:rPr>
              <w:t>1.2.8. El. paštas</w:t>
            </w:r>
          </w:p>
        </w:tc>
        <w:tc>
          <w:tcPr>
            <w:tcW w:w="3510" w:type="dxa"/>
          </w:tcPr>
          <w:p w14:paraId="74064AC0" w14:textId="5B796B90" w:rsidR="005A5832" w:rsidRPr="005920A8" w:rsidRDefault="005A5832">
            <w:pPr>
              <w:jc w:val="center"/>
              <w:rPr>
                <w:kern w:val="2"/>
                <w:szCs w:val="24"/>
                <w:lang w:val="en-US"/>
              </w:rPr>
            </w:pPr>
          </w:p>
        </w:tc>
      </w:tr>
      <w:tr w:rsidR="005A5832" w:rsidRPr="00005449" w14:paraId="3B448476" w14:textId="77777777">
        <w:tc>
          <w:tcPr>
            <w:tcW w:w="2808" w:type="dxa"/>
            <w:vMerge/>
          </w:tcPr>
          <w:p w14:paraId="1FD4F153" w14:textId="77777777" w:rsidR="005A5832" w:rsidRPr="00005449" w:rsidRDefault="005A5832">
            <w:pPr>
              <w:rPr>
                <w:b/>
                <w:bCs/>
                <w:kern w:val="2"/>
                <w:szCs w:val="24"/>
              </w:rPr>
            </w:pPr>
          </w:p>
        </w:tc>
        <w:tc>
          <w:tcPr>
            <w:tcW w:w="3240" w:type="dxa"/>
          </w:tcPr>
          <w:p w14:paraId="473ABCD7" w14:textId="77777777" w:rsidR="005A5832" w:rsidRPr="00005449" w:rsidRDefault="00A10867">
            <w:pPr>
              <w:rPr>
                <w:kern w:val="2"/>
                <w:szCs w:val="24"/>
              </w:rPr>
            </w:pPr>
            <w:r w:rsidRPr="00005449">
              <w:rPr>
                <w:kern w:val="2"/>
                <w:szCs w:val="24"/>
              </w:rPr>
              <w:t>1.2.9. Šalies atstovas</w:t>
            </w:r>
          </w:p>
        </w:tc>
        <w:tc>
          <w:tcPr>
            <w:tcW w:w="3510" w:type="dxa"/>
          </w:tcPr>
          <w:p w14:paraId="336B6D15" w14:textId="5C20680D" w:rsidR="005A5832" w:rsidRPr="005920A8" w:rsidRDefault="005A5832">
            <w:pPr>
              <w:jc w:val="center"/>
              <w:rPr>
                <w:kern w:val="2"/>
                <w:szCs w:val="24"/>
              </w:rPr>
            </w:pPr>
          </w:p>
        </w:tc>
      </w:tr>
      <w:tr w:rsidR="005A5832" w:rsidRPr="00005449" w14:paraId="3DEC7125" w14:textId="77777777">
        <w:tc>
          <w:tcPr>
            <w:tcW w:w="2808" w:type="dxa"/>
            <w:vMerge/>
          </w:tcPr>
          <w:p w14:paraId="4E9A87CC" w14:textId="77777777" w:rsidR="005A5832" w:rsidRPr="00005449" w:rsidRDefault="005A5832">
            <w:pPr>
              <w:rPr>
                <w:b/>
                <w:bCs/>
                <w:kern w:val="2"/>
                <w:szCs w:val="24"/>
              </w:rPr>
            </w:pPr>
          </w:p>
        </w:tc>
        <w:tc>
          <w:tcPr>
            <w:tcW w:w="3240" w:type="dxa"/>
          </w:tcPr>
          <w:p w14:paraId="19586A4A" w14:textId="77777777" w:rsidR="005A5832" w:rsidRPr="00005449" w:rsidRDefault="00A10867">
            <w:pPr>
              <w:rPr>
                <w:kern w:val="2"/>
                <w:szCs w:val="24"/>
              </w:rPr>
            </w:pPr>
            <w:r w:rsidRPr="00005449">
              <w:rPr>
                <w:kern w:val="2"/>
                <w:szCs w:val="24"/>
              </w:rPr>
              <w:t>1.2.10. Atstovavimo pagrindas</w:t>
            </w:r>
          </w:p>
        </w:tc>
        <w:tc>
          <w:tcPr>
            <w:tcW w:w="3510" w:type="dxa"/>
          </w:tcPr>
          <w:p w14:paraId="6FF24FCD" w14:textId="62449469" w:rsidR="005A5832" w:rsidRPr="005920A8" w:rsidRDefault="005A5832">
            <w:pPr>
              <w:jc w:val="center"/>
              <w:rPr>
                <w:kern w:val="2"/>
                <w:szCs w:val="24"/>
              </w:rPr>
            </w:pP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2B32F297" w:rsidR="005A5832" w:rsidRPr="00A95C44" w:rsidRDefault="00A95C44" w:rsidP="005920A8">
            <w:pPr>
              <w:pStyle w:val="msonormal0"/>
              <w:spacing w:before="0" w:beforeAutospacing="0" w:after="0" w:afterAutospacing="0"/>
              <w:rPr>
                <w:color w:val="4472C4"/>
                <w:kern w:val="2"/>
                <w:lang w:eastAsia="en-US"/>
              </w:rPr>
            </w:pPr>
            <w:r>
              <w:rPr>
                <w:kern w:val="2"/>
                <w:lang w:eastAsia="en-US"/>
              </w:rPr>
              <w:t>Pirkimų vadybininkė koordinatorė K.Smalskienė</w:t>
            </w:r>
            <w:r w:rsidR="006B7104">
              <w:rPr>
                <w:kern w:val="2"/>
                <w:lang w:eastAsia="en-US"/>
              </w:rPr>
              <w:t>, tel +370 </w:t>
            </w:r>
            <w:r>
              <w:rPr>
                <w:kern w:val="2"/>
                <w:lang w:eastAsia="en-US"/>
              </w:rPr>
              <w:t>61253694</w:t>
            </w:r>
            <w:r w:rsidR="006B7104">
              <w:rPr>
                <w:kern w:val="2"/>
                <w:lang w:eastAsia="en-US"/>
              </w:rPr>
              <w:t xml:space="preserve">, el.paštas: </w:t>
            </w:r>
            <w:r>
              <w:rPr>
                <w:kern w:val="2"/>
                <w:lang w:eastAsia="en-US"/>
              </w:rPr>
              <w:t>pirkimai</w:t>
            </w:r>
            <w:r w:rsidR="006B7104" w:rsidRPr="00A95C44">
              <w:rPr>
                <w:kern w:val="2"/>
                <w:lang w:eastAsia="en-US"/>
              </w:rPr>
              <w:t>@pieno-tyrimai.lt</w:t>
            </w:r>
          </w:p>
        </w:tc>
      </w:tr>
      <w:tr w:rsidR="005A5832" w:rsidRPr="00005449" w14:paraId="6B59EEDA" w14:textId="77777777">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5C9165D1" w:rsidR="005A5832" w:rsidRPr="006B7104" w:rsidRDefault="005A5832">
            <w:pPr>
              <w:rPr>
                <w:color w:val="4472C4"/>
                <w:kern w:val="2"/>
                <w:szCs w:val="24"/>
                <w:lang w:val="en-US"/>
              </w:rPr>
            </w:pPr>
          </w:p>
        </w:tc>
      </w:tr>
      <w:tr w:rsidR="005A5832" w:rsidRPr="00005449" w14:paraId="7F61DAA9" w14:textId="77777777">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1197FFC7" w14:textId="189BC8C4" w:rsidR="005A5832" w:rsidRPr="00005449" w:rsidRDefault="00A10867" w:rsidP="00A3305A">
            <w:pPr>
              <w:jc w:val="both"/>
              <w:rPr>
                <w:kern w:val="2"/>
                <w:szCs w:val="24"/>
              </w:rPr>
            </w:pPr>
            <w:r w:rsidRPr="00005449">
              <w:rPr>
                <w:kern w:val="2"/>
                <w:szCs w:val="24"/>
              </w:rPr>
              <w:t xml:space="preserve">Tiekėjas įsipareigoja Sutartyje numatytomis sąlygomis </w:t>
            </w:r>
            <w:r w:rsidR="007A727C">
              <w:rPr>
                <w:kern w:val="2"/>
                <w:szCs w:val="24"/>
              </w:rPr>
              <w:t xml:space="preserve">parduoti </w:t>
            </w:r>
            <w:r w:rsidRPr="00005449">
              <w:rPr>
                <w:kern w:val="2"/>
                <w:szCs w:val="24"/>
              </w:rPr>
              <w:t>Pirkėjui</w:t>
            </w:r>
            <w:r w:rsidR="007A727C">
              <w:rPr>
                <w:kern w:val="2"/>
                <w:szCs w:val="24"/>
              </w:rPr>
              <w:t xml:space="preserve"> autmobilius su techniniu aptarnavimu</w:t>
            </w:r>
            <w:r w:rsidR="00DB0709">
              <w:rPr>
                <w:kern w:val="2"/>
                <w:szCs w:val="24"/>
              </w:rPr>
              <w:t xml:space="preserve"> </w:t>
            </w:r>
            <w:r w:rsidRPr="00005449">
              <w:rPr>
                <w:color w:val="000000"/>
                <w:kern w:val="2"/>
                <w:szCs w:val="24"/>
              </w:rPr>
              <w:t xml:space="preserve"> (toliau – Prekės).</w:t>
            </w:r>
          </w:p>
          <w:p w14:paraId="0F3C38E2" w14:textId="07E14CA6" w:rsidR="005A5832" w:rsidRPr="00005449" w:rsidRDefault="00A10867" w:rsidP="00A3305A">
            <w:pPr>
              <w:jc w:val="both"/>
              <w:rPr>
                <w:color w:val="000000"/>
                <w:kern w:val="2"/>
                <w:szCs w:val="24"/>
              </w:rPr>
            </w:pPr>
            <w:r w:rsidRPr="00005449">
              <w:rPr>
                <w:color w:val="000000"/>
                <w:kern w:val="2"/>
                <w:szCs w:val="24"/>
              </w:rPr>
              <w:t xml:space="preserve">Išsamus Prekių aprašymas ir kiti reikalavimai tiekiamoms Prekėms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 ir Sutarties priede Nr. </w:t>
            </w:r>
            <w:r w:rsidR="00D20E81" w:rsidRPr="00005449">
              <w:rPr>
                <w:color w:val="000000"/>
                <w:kern w:val="2"/>
                <w:szCs w:val="24"/>
              </w:rPr>
              <w:t>2</w:t>
            </w:r>
            <w:r w:rsidRPr="00005449">
              <w:rPr>
                <w:color w:val="000000"/>
                <w:kern w:val="2"/>
                <w:szCs w:val="24"/>
              </w:rPr>
              <w:t xml:space="preserve"> „Pasiūlymas“.</w:t>
            </w:r>
          </w:p>
        </w:tc>
      </w:tr>
      <w:tr w:rsidR="005A5832" w:rsidRPr="00005449" w14:paraId="490DBADD" w14:textId="77777777">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t>3.2. Pirkimo numeris</w:t>
            </w:r>
          </w:p>
        </w:tc>
        <w:tc>
          <w:tcPr>
            <w:tcW w:w="6831" w:type="dxa"/>
            <w:gridSpan w:val="2"/>
          </w:tcPr>
          <w:p w14:paraId="3DAA4B0B" w14:textId="1CA3DAE3" w:rsidR="005A5832" w:rsidRPr="00005449" w:rsidRDefault="005A5832">
            <w:pPr>
              <w:rPr>
                <w:kern w:val="2"/>
                <w:szCs w:val="24"/>
              </w:rPr>
            </w:pPr>
          </w:p>
        </w:tc>
      </w:tr>
      <w:tr w:rsidR="005A5832" w:rsidRPr="00005449" w14:paraId="72A0D476" w14:textId="77777777">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lastRenderedPageBreak/>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03F384DF" w14:textId="44AB754A" w:rsidR="00267FAA" w:rsidRPr="001E4B0D" w:rsidRDefault="00267FAA" w:rsidP="00BB13C6">
            <w:pPr>
              <w:jc w:val="both"/>
              <w:rPr>
                <w:kern w:val="2"/>
                <w:szCs w:val="24"/>
              </w:rPr>
            </w:pPr>
            <w:r w:rsidRPr="001E4B0D">
              <w:rPr>
                <w:kern w:val="2"/>
                <w:szCs w:val="24"/>
              </w:rPr>
              <w:t xml:space="preserve">Tiekėjas įsipareigoja pristatyti Prekes </w:t>
            </w:r>
            <w:r w:rsidR="009F71D8">
              <w:rPr>
                <w:kern w:val="2"/>
                <w:szCs w:val="24"/>
              </w:rPr>
              <w:t xml:space="preserve">per 4 mėnesius nuo sutarties pasirašymo. </w:t>
            </w:r>
            <w:r w:rsidR="0072387C" w:rsidRPr="001E4B0D">
              <w:rPr>
                <w:kern w:val="2"/>
                <w:szCs w:val="24"/>
              </w:rPr>
              <w:t>Prekių pristatymo adresa</w:t>
            </w:r>
            <w:r w:rsidR="00DB0709" w:rsidRPr="001E4B0D">
              <w:rPr>
                <w:kern w:val="2"/>
                <w:szCs w:val="24"/>
              </w:rPr>
              <w:t xml:space="preserve">s: Radvilų Dvaro g. 31, Kaunas. </w:t>
            </w:r>
          </w:p>
          <w:p w14:paraId="303D0F1E" w14:textId="77777777" w:rsidR="00267FAA" w:rsidRPr="00A95C44" w:rsidRDefault="00267FAA" w:rsidP="00267FAA">
            <w:pPr>
              <w:rPr>
                <w:kern w:val="2"/>
                <w:szCs w:val="24"/>
                <w:highlight w:val="yellow"/>
              </w:rPr>
            </w:pPr>
          </w:p>
          <w:p w14:paraId="7EAB81DD" w14:textId="3BEF1165" w:rsidR="00267FAA" w:rsidRPr="00A95C44" w:rsidRDefault="00267FAA" w:rsidP="006D2EC5">
            <w:pPr>
              <w:jc w:val="both"/>
              <w:rPr>
                <w:kern w:val="2"/>
                <w:szCs w:val="24"/>
                <w:highlight w:val="yellow"/>
              </w:rPr>
            </w:pPr>
          </w:p>
        </w:tc>
      </w:tr>
      <w:tr w:rsidR="005A5832" w:rsidRPr="00005449" w14:paraId="4BF83825" w14:textId="77777777">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36FCFAF4" w:rsidR="005A5832" w:rsidRPr="00A95C44" w:rsidRDefault="001E4B0D" w:rsidP="00BC372E">
            <w:pPr>
              <w:jc w:val="both"/>
              <w:rPr>
                <w:kern w:val="2"/>
                <w:szCs w:val="24"/>
                <w:highlight w:val="yellow"/>
              </w:rPr>
            </w:pPr>
            <w:r w:rsidRPr="001E4B0D">
              <w:rPr>
                <w:kern w:val="2"/>
                <w:szCs w:val="24"/>
              </w:rPr>
              <w:t xml:space="preserve"> -</w:t>
            </w:r>
          </w:p>
        </w:tc>
      </w:tr>
      <w:tr w:rsidR="005A5832" w:rsidRPr="00005449" w14:paraId="3C947432" w14:textId="77777777">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3F2B57E3" w:rsidR="005A5832" w:rsidRPr="00005449" w:rsidRDefault="006B7104">
            <w:pPr>
              <w:rPr>
                <w:kern w:val="2"/>
                <w:szCs w:val="24"/>
              </w:rPr>
            </w:pPr>
            <w:r>
              <w:rPr>
                <w:kern w:val="2"/>
                <w:szCs w:val="24"/>
              </w:rPr>
              <w:t>Netaikoma</w:t>
            </w:r>
          </w:p>
        </w:tc>
      </w:tr>
      <w:tr w:rsidR="005A5832" w:rsidRPr="00005449" w14:paraId="62B49606" w14:textId="77777777">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15D816E1" w:rsidR="005A5832" w:rsidRPr="00005449" w:rsidRDefault="00A10867">
            <w:pPr>
              <w:rPr>
                <w:kern w:val="2"/>
                <w:szCs w:val="24"/>
              </w:rPr>
            </w:pPr>
            <w:r w:rsidRPr="00005449">
              <w:rPr>
                <w:kern w:val="2"/>
                <w:szCs w:val="24"/>
              </w:rPr>
              <w:t>Fiksuoto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trPr>
          <w:trHeight w:val="300"/>
        </w:trPr>
        <w:tc>
          <w:tcPr>
            <w:tcW w:w="2704" w:type="dxa"/>
            <w:gridSpan w:val="2"/>
          </w:tcPr>
          <w:p w14:paraId="5406C803" w14:textId="77777777"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5A5832" w:rsidRPr="00005449" w:rsidRDefault="005A5832">
            <w:pPr>
              <w:rPr>
                <w:b/>
                <w:bCs/>
                <w:kern w:val="2"/>
                <w:szCs w:val="24"/>
              </w:rPr>
            </w:pPr>
          </w:p>
          <w:p w14:paraId="1D30CA26" w14:textId="77777777" w:rsidR="005A5832" w:rsidRPr="00005449" w:rsidRDefault="005A5832">
            <w:pPr>
              <w:rPr>
                <w:b/>
                <w:bCs/>
                <w:kern w:val="2"/>
                <w:szCs w:val="24"/>
              </w:rPr>
            </w:pPr>
          </w:p>
          <w:p w14:paraId="73C7E327" w14:textId="77777777" w:rsidR="005A5832" w:rsidRPr="00005449" w:rsidRDefault="005A5832">
            <w:pPr>
              <w:rPr>
                <w:b/>
                <w:bCs/>
                <w:kern w:val="2"/>
                <w:szCs w:val="24"/>
              </w:rPr>
            </w:pPr>
          </w:p>
          <w:p w14:paraId="566236B8" w14:textId="77777777" w:rsidR="005A5832" w:rsidRPr="00005449" w:rsidRDefault="005A5832">
            <w:pPr>
              <w:rPr>
                <w:b/>
                <w:bCs/>
                <w:kern w:val="2"/>
                <w:szCs w:val="24"/>
              </w:rPr>
            </w:pPr>
          </w:p>
          <w:p w14:paraId="10DA0BE3" w14:textId="77777777" w:rsidR="005A5832" w:rsidRPr="00005449" w:rsidRDefault="005A5832">
            <w:pPr>
              <w:rPr>
                <w:b/>
                <w:bCs/>
                <w:kern w:val="2"/>
                <w:szCs w:val="24"/>
              </w:rPr>
            </w:pPr>
          </w:p>
          <w:p w14:paraId="1806AB2E" w14:textId="77777777" w:rsidR="005A5832" w:rsidRPr="00005449" w:rsidRDefault="005A5832">
            <w:pPr>
              <w:rPr>
                <w:b/>
                <w:bCs/>
                <w:kern w:val="2"/>
                <w:szCs w:val="24"/>
              </w:rPr>
            </w:pPr>
          </w:p>
          <w:p w14:paraId="52E1C187" w14:textId="77777777" w:rsidR="005A5832" w:rsidRPr="00005449" w:rsidRDefault="005A5832">
            <w:pPr>
              <w:rPr>
                <w:b/>
                <w:bCs/>
                <w:kern w:val="2"/>
                <w:szCs w:val="24"/>
              </w:rPr>
            </w:pPr>
          </w:p>
          <w:p w14:paraId="39CA2C43" w14:textId="77777777" w:rsidR="005A5832" w:rsidRPr="00005449" w:rsidRDefault="005A5832">
            <w:pPr>
              <w:rPr>
                <w:b/>
                <w:bCs/>
                <w:kern w:val="2"/>
                <w:szCs w:val="24"/>
              </w:rPr>
            </w:pPr>
          </w:p>
          <w:p w14:paraId="1C10E67A" w14:textId="77777777" w:rsidR="005A5832" w:rsidRPr="00005449" w:rsidRDefault="005A5832">
            <w:pPr>
              <w:rPr>
                <w:b/>
                <w:bCs/>
                <w:kern w:val="2"/>
                <w:szCs w:val="24"/>
              </w:rPr>
            </w:pPr>
          </w:p>
          <w:p w14:paraId="4F668B85" w14:textId="77777777" w:rsidR="005A5832" w:rsidRPr="00005449" w:rsidRDefault="005A5832">
            <w:pPr>
              <w:rPr>
                <w:b/>
                <w:bCs/>
                <w:kern w:val="2"/>
                <w:szCs w:val="24"/>
              </w:rPr>
            </w:pPr>
          </w:p>
          <w:p w14:paraId="2C0345CF" w14:textId="77777777" w:rsidR="005A5832" w:rsidRPr="00005449" w:rsidRDefault="005A5832">
            <w:pPr>
              <w:rPr>
                <w:b/>
                <w:bCs/>
                <w:kern w:val="2"/>
                <w:szCs w:val="24"/>
              </w:rPr>
            </w:pP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2610903E" w:rsidR="005A5832" w:rsidRPr="00005449" w:rsidRDefault="00DB0709" w:rsidP="00697B1E">
            <w:pPr>
              <w:jc w:val="both"/>
              <w:rPr>
                <w:color w:val="000000"/>
                <w:kern w:val="2"/>
                <w:szCs w:val="24"/>
              </w:rPr>
            </w:pPr>
            <w:r>
              <w:rPr>
                <w:color w:val="000000"/>
                <w:kern w:val="2"/>
                <w:szCs w:val="24"/>
              </w:rPr>
              <w:t>Netaikoma</w:t>
            </w:r>
          </w:p>
        </w:tc>
      </w:tr>
      <w:tr w:rsidR="005A5832" w:rsidRPr="00005449" w14:paraId="5A415137" w14:textId="77777777">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7028D0B1" w14:textId="1710C117" w:rsidR="005A5832" w:rsidRPr="00005449" w:rsidRDefault="00A10867" w:rsidP="004F6A90">
            <w:pPr>
              <w:jc w:val="both"/>
              <w:rPr>
                <w:color w:val="000000"/>
                <w:kern w:val="2"/>
                <w:szCs w:val="24"/>
              </w:rPr>
            </w:pPr>
            <w:r w:rsidRPr="00005449">
              <w:rPr>
                <w:color w:val="000000"/>
                <w:kern w:val="2"/>
                <w:szCs w:val="24"/>
              </w:rPr>
              <w:t>5.3.</w:t>
            </w:r>
            <w:r w:rsidR="00BB3DE8" w:rsidRPr="00005449">
              <w:rPr>
                <w:color w:val="000000"/>
                <w:kern w:val="2"/>
                <w:szCs w:val="24"/>
              </w:rPr>
              <w:t>2</w:t>
            </w:r>
            <w:r w:rsidRPr="00005449">
              <w:rPr>
                <w:color w:val="000000"/>
                <w:kern w:val="2"/>
                <w:szCs w:val="24"/>
              </w:rPr>
              <w:t xml:space="preserve">. </w:t>
            </w:r>
            <w:r w:rsidR="003145AC" w:rsidRPr="00005449">
              <w:rPr>
                <w:color w:val="000000"/>
                <w:kern w:val="2"/>
                <w:szCs w:val="24"/>
              </w:rPr>
              <w:t>dėl kainų lygio pokyčio</w:t>
            </w:r>
            <w:r w:rsidRPr="00005449">
              <w:rPr>
                <w:color w:val="000000"/>
                <w:kern w:val="2"/>
                <w:szCs w:val="24"/>
              </w:rPr>
              <w:t>.</w:t>
            </w:r>
          </w:p>
          <w:p w14:paraId="6C963A23" w14:textId="03BC56EB" w:rsidR="00F77626" w:rsidRPr="00005449" w:rsidRDefault="00F77626" w:rsidP="00701663">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5A5832" w:rsidRPr="00005449" w14:paraId="2D33771F" w14:textId="77777777">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lastRenderedPageBreak/>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Prekių dalį, kurios bus tiekiamos nuo Šalių pasirašyto Susitarime nurodytos dienos</w:t>
            </w:r>
            <w:r w:rsidR="000C4C4F" w:rsidRPr="00005449">
              <w:rPr>
                <w:kern w:val="2"/>
                <w:szCs w:val="24"/>
              </w:rPr>
              <w:t>.</w:t>
            </w:r>
          </w:p>
        </w:tc>
      </w:tr>
      <w:tr w:rsidR="005A5832" w:rsidRPr="00005449" w14:paraId="0DEE50E8" w14:textId="77777777">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5F0CED09" w14:textId="662870BE" w:rsidR="005A5832" w:rsidRPr="00005449" w:rsidRDefault="009F71D8" w:rsidP="00B04762">
            <w:pPr>
              <w:jc w:val="both"/>
              <w:rPr>
                <w:kern w:val="2"/>
                <w:szCs w:val="24"/>
              </w:rPr>
            </w:pPr>
            <w:r>
              <w:rPr>
                <w:kern w:val="2"/>
                <w:szCs w:val="24"/>
              </w:rPr>
              <w:t>Netaikoma</w:t>
            </w:r>
          </w:p>
        </w:tc>
      </w:tr>
      <w:tr w:rsidR="005A5832" w:rsidRPr="00005449" w14:paraId="220A9EAE" w14:textId="77777777">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2FE1A7FA" w14:textId="546AF989" w:rsidR="005A5832" w:rsidRPr="00005449" w:rsidRDefault="00A10867" w:rsidP="00F471E6">
            <w:pPr>
              <w:jc w:val="both"/>
              <w:rPr>
                <w:kern w:val="2"/>
                <w:szCs w:val="24"/>
              </w:rPr>
            </w:pPr>
            <w:r w:rsidRPr="00005449">
              <w:rPr>
                <w:kern w:val="2"/>
                <w:szCs w:val="24"/>
              </w:rPr>
              <w:t xml:space="preserve">Pirkėjas atsiskaito su Tiekėju ne vėliau kaip per </w:t>
            </w:r>
            <w:r w:rsidR="00C82A66" w:rsidRPr="00005449">
              <w:rPr>
                <w:rFonts w:eastAsia="Calibri"/>
                <w:szCs w:val="24"/>
                <w:lang w:eastAsia="ar-SA"/>
              </w:rPr>
              <w:t>30 (trisdeš</w:t>
            </w:r>
            <w:r w:rsidR="00F471E6" w:rsidRPr="00005449">
              <w:rPr>
                <w:rFonts w:eastAsia="Calibri"/>
                <w:szCs w:val="24"/>
                <w:lang w:eastAsia="ar-SA"/>
              </w:rPr>
              <w:t>imt)</w:t>
            </w:r>
            <w:r w:rsidR="00C82A66" w:rsidRPr="00005449">
              <w:rPr>
                <w:rFonts w:eastAsia="Calibri"/>
                <w:szCs w:val="24"/>
                <w:lang w:eastAsia="ar-SA"/>
              </w:rPr>
              <w:t xml:space="preserve"> kalendorinių dienų</w:t>
            </w:r>
            <w:r w:rsidRPr="00005449">
              <w:rPr>
                <w:kern w:val="2"/>
                <w:szCs w:val="24"/>
              </w:rPr>
              <w:t xml:space="preserve"> nuo Sąskaitos gavimo dienos.</w:t>
            </w:r>
          </w:p>
          <w:p w14:paraId="7EF5F13E" w14:textId="77777777" w:rsidR="005A5832" w:rsidRPr="00005449" w:rsidRDefault="005A5832">
            <w:pPr>
              <w:rPr>
                <w:kern w:val="2"/>
                <w:szCs w:val="24"/>
              </w:rPr>
            </w:pPr>
          </w:p>
          <w:p w14:paraId="7CC2D97C" w14:textId="77777777" w:rsidR="00092C7B" w:rsidRPr="00005449" w:rsidRDefault="00A10867"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Apmokėjimo sąlygos</w:t>
            </w:r>
            <w:r w:rsidR="00E466B9" w:rsidRPr="00005449">
              <w:rPr>
                <w:rFonts w:eastAsia="Calibri"/>
                <w:szCs w:val="24"/>
                <w:lang w:eastAsia="ar-SA"/>
              </w:rPr>
              <w:t xml:space="preserve">: </w:t>
            </w:r>
            <w:r w:rsidRPr="00005449">
              <w:rPr>
                <w:rFonts w:eastAsia="Calibri"/>
                <w:szCs w:val="24"/>
                <w:lang w:eastAsia="ar-SA"/>
              </w:rPr>
              <w:t>įvykdžius užsakymą, mokama už konkretų kiekį / apimtį pagal nustatytus įkainius</w:t>
            </w:r>
            <w:r w:rsidR="00E466B9" w:rsidRPr="00005449">
              <w:rPr>
                <w:rFonts w:eastAsia="Calibri"/>
                <w:szCs w:val="24"/>
                <w:lang w:eastAsia="ar-SA"/>
              </w:rPr>
              <w:t>.</w:t>
            </w:r>
            <w:r w:rsidR="00CA7333" w:rsidRPr="00005449">
              <w:rPr>
                <w:rFonts w:eastAsia="Calibri"/>
                <w:szCs w:val="24"/>
                <w:lang w:eastAsia="ar-SA"/>
              </w:rPr>
              <w:t xml:space="preserve"> </w:t>
            </w:r>
          </w:p>
          <w:p w14:paraId="0B758197" w14:textId="647A7329" w:rsidR="005A5832" w:rsidRPr="00005449" w:rsidRDefault="00CA7333"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5A5832" w:rsidRPr="00005449" w14:paraId="440B1327" w14:textId="77777777">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t>6.2. Garantinė priežiūra</w:t>
            </w:r>
          </w:p>
        </w:tc>
        <w:tc>
          <w:tcPr>
            <w:tcW w:w="6831"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000B7943" w:rsidRPr="00005449">
              <w:rPr>
                <w:b/>
                <w:bCs/>
                <w:kern w:val="2"/>
                <w:szCs w:val="24"/>
              </w:rPr>
              <w:t>5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7CD77960" w:rsidR="005A5832" w:rsidRPr="00005449" w:rsidRDefault="005A5832">
            <w:pPr>
              <w:rPr>
                <w:b/>
                <w:bCs/>
                <w:kern w:val="2"/>
                <w:szCs w:val="24"/>
              </w:rPr>
            </w:pPr>
          </w:p>
        </w:tc>
      </w:tr>
      <w:tr w:rsidR="005A5832" w:rsidRPr="00005449" w14:paraId="00A57580" w14:textId="77777777">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lastRenderedPageBreak/>
              <w:t>8.1. Prievolių pagal Sutartį įvykdymo užtikrinimas</w:t>
            </w:r>
          </w:p>
        </w:tc>
        <w:tc>
          <w:tcPr>
            <w:tcW w:w="6831"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4"/>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3779D6E7"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5A5832" w:rsidRPr="00005449" w14:paraId="253CF9DC" w14:textId="77777777">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688DCFEA"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0,02 (dvi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4F9C56F8"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4BA72F0E" w14:textId="77777777">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t>Netaikoma</w:t>
            </w:r>
          </w:p>
          <w:p w14:paraId="0FD724B0" w14:textId="00DB5482" w:rsidR="005A5832" w:rsidRPr="00005449" w:rsidRDefault="005A5832">
            <w:pPr>
              <w:rPr>
                <w:color w:val="4472C4"/>
                <w:kern w:val="2"/>
                <w:szCs w:val="24"/>
              </w:rPr>
            </w:pPr>
          </w:p>
        </w:tc>
      </w:tr>
      <w:tr w:rsidR="005A5832" w:rsidRPr="00005449" w14:paraId="3B0F0542" w14:textId="77777777">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 xml:space="preserve">9.7. Tiekėjui taikomos netesybos dėl pirkimo dokumentuose nustatytų kokybinių </w:t>
            </w:r>
            <w:r w:rsidRPr="00005449">
              <w:rPr>
                <w:b/>
                <w:bCs/>
                <w:kern w:val="2"/>
                <w:szCs w:val="24"/>
              </w:rPr>
              <w:lastRenderedPageBreak/>
              <w:t>kriterijų nepasiekimo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lastRenderedPageBreak/>
              <w:t>Netaikoma</w:t>
            </w:r>
          </w:p>
          <w:p w14:paraId="5B82915A" w14:textId="29293391" w:rsidR="005A5832" w:rsidRPr="00005449" w:rsidRDefault="005A5832">
            <w:pPr>
              <w:rPr>
                <w:color w:val="4472C4"/>
                <w:kern w:val="2"/>
                <w:szCs w:val="24"/>
              </w:rPr>
            </w:pPr>
          </w:p>
        </w:tc>
      </w:tr>
      <w:tr w:rsidR="005A5832" w:rsidRPr="00005449" w14:paraId="069C4450" w14:textId="77777777">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2853123E" w14:textId="77777777">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9C59644"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37CDE">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37CDE">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37CDE">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69DDBE41"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25147" w:rsidRPr="00BF1AEB">
              <w:rPr>
                <w:kern w:val="2"/>
                <w:szCs w:val="24"/>
              </w:rPr>
              <w:t>4.4</w:t>
            </w:r>
            <w:r w:rsidR="00A615C5" w:rsidRPr="00BF1AEB">
              <w:rPr>
                <w:kern w:val="2"/>
                <w:szCs w:val="24"/>
              </w:rPr>
              <w:t>.</w:t>
            </w:r>
            <w:r w:rsidR="00725147" w:rsidRPr="00BF1AEB">
              <w:rPr>
                <w:kern w:val="2"/>
                <w:szCs w:val="24"/>
              </w:rPr>
              <w:t>4</w:t>
            </w:r>
            <w:r w:rsidRPr="00BF1AEB">
              <w:rPr>
                <w:kern w:val="2"/>
                <w:szCs w:val="24"/>
              </w:rPr>
              <w:t xml:space="preserve"> papunkčiu. </w:t>
            </w:r>
          </w:p>
        </w:tc>
      </w:tr>
      <w:tr w:rsidR="005A5832" w:rsidRPr="00005449" w14:paraId="7F0F19FF" w14:textId="77777777" w:rsidTr="00837CDE">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7846A839" w:rsidR="005A5832" w:rsidRPr="00005449" w:rsidRDefault="009F71D8" w:rsidP="00725B43">
            <w:pPr>
              <w:jc w:val="both"/>
              <w:rPr>
                <w:color w:val="008080"/>
                <w:szCs w:val="24"/>
                <w:shd w:val="clear" w:color="auto" w:fill="FFFFFF"/>
              </w:rPr>
            </w:pPr>
            <w:r>
              <w:rPr>
                <w:color w:val="008080"/>
                <w:szCs w:val="24"/>
                <w:shd w:val="clear" w:color="auto" w:fill="FFFFFF"/>
              </w:rPr>
              <w:t>Netaikoma</w:t>
            </w:r>
            <w:bookmarkStart w:id="0" w:name="_GoBack"/>
            <w:bookmarkEnd w:id="0"/>
          </w:p>
        </w:tc>
      </w:tr>
      <w:tr w:rsidR="005A5832" w:rsidRPr="00005449" w14:paraId="5F5DC6D3" w14:textId="77777777" w:rsidTr="00837CDE">
        <w:trPr>
          <w:trHeight w:val="300"/>
        </w:trPr>
        <w:tc>
          <w:tcPr>
            <w:tcW w:w="2689"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22781200" w:rsidR="005A5832" w:rsidRPr="00A65B55" w:rsidRDefault="00A65B55" w:rsidP="00A65B55">
            <w:pPr>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37CDE">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 xml:space="preserve">Su Prekėmis susijusių paslaugų (pavyzdžiui, montavimo, apmokymo ir kitos parengimui naudoti skirtos </w:t>
            </w:r>
            <w:r w:rsidRPr="00005449">
              <w:rPr>
                <w:b/>
                <w:bCs/>
                <w:kern w:val="2"/>
                <w:szCs w:val="24"/>
                <w:shd w:val="clear" w:color="auto" w:fill="FFFFFF"/>
              </w:rPr>
              <w:lastRenderedPageBreak/>
              <w:t>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lastRenderedPageBreak/>
              <w:t>Netaikoma</w:t>
            </w:r>
          </w:p>
          <w:p w14:paraId="3DC33035" w14:textId="7756090F" w:rsidR="005A5832" w:rsidRPr="00005449" w:rsidRDefault="005A5832">
            <w:pPr>
              <w:rPr>
                <w:kern w:val="2"/>
                <w:szCs w:val="24"/>
              </w:rPr>
            </w:pPr>
          </w:p>
        </w:tc>
      </w:tr>
      <w:tr w:rsidR="005A5832" w:rsidRPr="00005449" w14:paraId="7955E34C" w14:textId="77777777" w:rsidTr="00837CDE">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37CDE">
        <w:trPr>
          <w:trHeight w:val="300"/>
        </w:trPr>
        <w:tc>
          <w:tcPr>
            <w:tcW w:w="2689"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37CDE">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837CDE">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6FB07445" w:rsidR="005A5832" w:rsidRPr="00005449" w:rsidRDefault="00F71B49" w:rsidP="00F71B49">
            <w:pPr>
              <w:rPr>
                <w:kern w:val="2"/>
                <w:szCs w:val="24"/>
              </w:rPr>
            </w:pPr>
            <w:r w:rsidRPr="00005449">
              <w:rPr>
                <w:kern w:val="2"/>
                <w:szCs w:val="24"/>
              </w:rPr>
              <w:t>Tiekėjo pasiūlymas</w:t>
            </w:r>
          </w:p>
        </w:tc>
      </w:tr>
      <w:tr w:rsidR="005A5832" w:rsidRPr="00005449" w14:paraId="568F0A6B" w14:textId="77777777" w:rsidTr="00837CDE">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3"/>
          </w:tcPr>
          <w:p w14:paraId="78500757" w14:textId="20B18D84" w:rsidR="005A5832" w:rsidRPr="006B7104" w:rsidRDefault="00A95C44">
            <w:pPr>
              <w:jc w:val="center"/>
              <w:rPr>
                <w:kern w:val="2"/>
                <w:szCs w:val="24"/>
              </w:rPr>
            </w:pPr>
            <w:r>
              <w:rPr>
                <w:kern w:val="2"/>
                <w:szCs w:val="24"/>
              </w:rPr>
              <w:t xml:space="preserve">Dirketorė </w:t>
            </w:r>
          </w:p>
        </w:tc>
        <w:tc>
          <w:tcPr>
            <w:tcW w:w="4747" w:type="dxa"/>
          </w:tcPr>
          <w:p w14:paraId="31367C3C" w14:textId="0949C1EB" w:rsidR="005A5832" w:rsidRPr="006B7104" w:rsidRDefault="005A5832">
            <w:pPr>
              <w:jc w:val="center"/>
              <w:rPr>
                <w:b/>
                <w:bCs/>
                <w:kern w:val="2"/>
                <w:szCs w:val="24"/>
              </w:rPr>
            </w:pPr>
          </w:p>
        </w:tc>
      </w:tr>
      <w:tr w:rsidR="005A5832" w:rsidRPr="00005449" w14:paraId="4FF30195" w14:textId="77777777">
        <w:tc>
          <w:tcPr>
            <w:tcW w:w="4788" w:type="dxa"/>
            <w:gridSpan w:val="3"/>
          </w:tcPr>
          <w:p w14:paraId="7978DAB2" w14:textId="1B2D2AE1" w:rsidR="005A5832" w:rsidRPr="00A95C44" w:rsidRDefault="00A95C44">
            <w:pPr>
              <w:jc w:val="center"/>
              <w:rPr>
                <w:bCs/>
                <w:color w:val="4472C4"/>
                <w:kern w:val="2"/>
                <w:szCs w:val="24"/>
              </w:rPr>
            </w:pPr>
            <w:r w:rsidRPr="00A95C44">
              <w:rPr>
                <w:bCs/>
                <w:color w:val="000000" w:themeColor="text1"/>
                <w:kern w:val="2"/>
                <w:szCs w:val="24"/>
              </w:rPr>
              <w:t>Laima Urbšienė</w:t>
            </w:r>
          </w:p>
        </w:tc>
        <w:tc>
          <w:tcPr>
            <w:tcW w:w="4747" w:type="dxa"/>
          </w:tcPr>
          <w:p w14:paraId="18D574EA" w14:textId="5D276B69" w:rsidR="005A5832" w:rsidRPr="00005449" w:rsidRDefault="005A5832">
            <w:pPr>
              <w:jc w:val="center"/>
              <w:rPr>
                <w:b/>
                <w:bCs/>
                <w:color w:val="4472C4"/>
                <w:kern w:val="2"/>
                <w:szCs w:val="24"/>
              </w:rPr>
            </w:pP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80C48"/>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4ACB"/>
    <w:rsid w:val="001322C8"/>
    <w:rsid w:val="0014099C"/>
    <w:rsid w:val="00152806"/>
    <w:rsid w:val="00154817"/>
    <w:rsid w:val="001D01C1"/>
    <w:rsid w:val="001E4B0D"/>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58B1"/>
    <w:rsid w:val="002D6D00"/>
    <w:rsid w:val="002E2CEA"/>
    <w:rsid w:val="00302FC7"/>
    <w:rsid w:val="003145AC"/>
    <w:rsid w:val="00333DC3"/>
    <w:rsid w:val="00333E74"/>
    <w:rsid w:val="0033773C"/>
    <w:rsid w:val="003542F4"/>
    <w:rsid w:val="0037207D"/>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E49CF"/>
    <w:rsid w:val="004F6572"/>
    <w:rsid w:val="004F6A90"/>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1663"/>
    <w:rsid w:val="0071371F"/>
    <w:rsid w:val="00720465"/>
    <w:rsid w:val="0072387C"/>
    <w:rsid w:val="00725147"/>
    <w:rsid w:val="00725B43"/>
    <w:rsid w:val="007349BC"/>
    <w:rsid w:val="007412BF"/>
    <w:rsid w:val="007542D7"/>
    <w:rsid w:val="00756874"/>
    <w:rsid w:val="0077462F"/>
    <w:rsid w:val="00797247"/>
    <w:rsid w:val="007A727C"/>
    <w:rsid w:val="007D6EB1"/>
    <w:rsid w:val="007E0EFC"/>
    <w:rsid w:val="007F58F6"/>
    <w:rsid w:val="00812484"/>
    <w:rsid w:val="008164B2"/>
    <w:rsid w:val="008200AA"/>
    <w:rsid w:val="00837CDE"/>
    <w:rsid w:val="00842586"/>
    <w:rsid w:val="00853F7E"/>
    <w:rsid w:val="0085407E"/>
    <w:rsid w:val="00871A1B"/>
    <w:rsid w:val="00876B80"/>
    <w:rsid w:val="0088588A"/>
    <w:rsid w:val="008E0BCC"/>
    <w:rsid w:val="00914F93"/>
    <w:rsid w:val="00920696"/>
    <w:rsid w:val="00966C14"/>
    <w:rsid w:val="009705CA"/>
    <w:rsid w:val="00971F31"/>
    <w:rsid w:val="009742BA"/>
    <w:rsid w:val="0098050F"/>
    <w:rsid w:val="00980F16"/>
    <w:rsid w:val="00981110"/>
    <w:rsid w:val="00983081"/>
    <w:rsid w:val="009A6D5D"/>
    <w:rsid w:val="009C3FC8"/>
    <w:rsid w:val="009C7350"/>
    <w:rsid w:val="009F71D8"/>
    <w:rsid w:val="00A0260C"/>
    <w:rsid w:val="00A046CD"/>
    <w:rsid w:val="00A10867"/>
    <w:rsid w:val="00A12FF0"/>
    <w:rsid w:val="00A3305A"/>
    <w:rsid w:val="00A45A5F"/>
    <w:rsid w:val="00A477CC"/>
    <w:rsid w:val="00A615C5"/>
    <w:rsid w:val="00A6380D"/>
    <w:rsid w:val="00A65B55"/>
    <w:rsid w:val="00A87003"/>
    <w:rsid w:val="00A91D1A"/>
    <w:rsid w:val="00A95C44"/>
    <w:rsid w:val="00A969F8"/>
    <w:rsid w:val="00AA7C06"/>
    <w:rsid w:val="00AB7976"/>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3DE8"/>
    <w:rsid w:val="00BB4EA9"/>
    <w:rsid w:val="00BB5365"/>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7814"/>
    <w:rsid w:val="00CE1287"/>
    <w:rsid w:val="00CE1798"/>
    <w:rsid w:val="00CF402D"/>
    <w:rsid w:val="00CF6B60"/>
    <w:rsid w:val="00CF7081"/>
    <w:rsid w:val="00D032E6"/>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96A2E"/>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A95C44"/>
    <w:pPr>
      <w:keepNext/>
      <w:jc w:val="both"/>
      <w:outlineLvl w:val="0"/>
    </w:pPr>
    <w:rPr>
      <w:b/>
      <w:kern w:val="2"/>
      <w:szCs w:val="24"/>
    </w:rPr>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 w:type="character" w:customStyle="1" w:styleId="Heading1Char">
    <w:name w:val="Heading 1 Char"/>
    <w:basedOn w:val="DefaultParagraphFont"/>
    <w:link w:val="Heading1"/>
    <w:rsid w:val="00A95C44"/>
    <w:rPr>
      <w:b/>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1c713a7c-8a7c-4327-be4a-3e364f1677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6255fc34-32b5-4914-9001-6e016d400544"/>
    <ds:schemaRef ds:uri="http://www.w3.org/XML/1998/namespace"/>
  </ds:schemaRefs>
</ds:datastoreItem>
</file>

<file path=customXml/itemProps4.xml><?xml version="1.0" encoding="utf-8"?>
<ds:datastoreItem xmlns:ds="http://schemas.openxmlformats.org/officeDocument/2006/customXml" ds:itemID="{C167537B-6672-4336-8038-7EFB5390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6461</Words>
  <Characters>3683</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cp:lastModifiedBy>
  <cp:revision>3</cp:revision>
  <dcterms:created xsi:type="dcterms:W3CDTF">2025-10-08T13:04:00Z</dcterms:created>
  <dcterms:modified xsi:type="dcterms:W3CDTF">2025-10-20T11:34:00Z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