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754FC063" w14:textId="7D6CA2D7" w:rsidR="00D25043" w:rsidRDefault="00F666D4"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680702">
              <w:rPr>
                <w:rFonts w:ascii="Times New Roman" w:hAnsi="Times New Roman" w:cs="Times New Roman"/>
                <w:b/>
                <w:lang w:val="lt-LT"/>
              </w:rPr>
              <w:t>ORIGINALIŲ DAŽŲ KASEČIŲ</w:t>
            </w:r>
          </w:p>
          <w:p w14:paraId="6981CACA" w14:textId="73649908" w:rsidR="007C77AC" w:rsidRPr="00E042C0" w:rsidRDefault="00C0682F"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74DB8349" w:rsidR="00B83EA9" w:rsidRPr="00790C7A" w:rsidRDefault="00C90BEB" w:rsidP="00511D2A">
      <w:pPr>
        <w:tabs>
          <w:tab w:val="left" w:pos="284"/>
        </w:tabs>
        <w:spacing w:after="0" w:line="240" w:lineRule="auto"/>
        <w:jc w:val="center"/>
        <w:rPr>
          <w:rFonts w:ascii="Times New Roman" w:hAnsi="Times New Roman" w:cs="Times New Roman"/>
          <w:sz w:val="24"/>
          <w:lang w:val="lt-LT"/>
        </w:rPr>
      </w:pPr>
      <w:r w:rsidRPr="00790C7A">
        <w:rPr>
          <w:rFonts w:ascii="Times New Roman" w:hAnsi="Times New Roman" w:cs="Times New Roman"/>
          <w:sz w:val="24"/>
          <w:lang w:val="lt-LT"/>
        </w:rPr>
        <w:t>2025</w:t>
      </w:r>
      <w:r w:rsidR="00982E96">
        <w:rPr>
          <w:rFonts w:ascii="Times New Roman" w:hAnsi="Times New Roman" w:cs="Times New Roman"/>
          <w:sz w:val="24"/>
          <w:lang w:val="lt-LT"/>
        </w:rPr>
        <w:t xml:space="preserve"> m.              </w:t>
      </w:r>
      <w:r w:rsidR="00790C7A" w:rsidRPr="00790C7A">
        <w:rPr>
          <w:rFonts w:ascii="Times New Roman" w:hAnsi="Times New Roman" w:cs="Times New Roman"/>
          <w:sz w:val="24"/>
          <w:lang w:val="lt-LT"/>
        </w:rPr>
        <w:t xml:space="preserve">          </w:t>
      </w:r>
      <w:r w:rsidR="00B83EA9" w:rsidRPr="00790C7A">
        <w:rPr>
          <w:rFonts w:ascii="Times New Roman" w:hAnsi="Times New Roman" w:cs="Times New Roman"/>
          <w:sz w:val="24"/>
          <w:lang w:val="lt-LT"/>
        </w:rPr>
        <w:t>d.</w:t>
      </w:r>
      <w:r w:rsidR="003F59D4" w:rsidRPr="00790C7A">
        <w:rPr>
          <w:rFonts w:ascii="Times New Roman" w:hAnsi="Times New Roman" w:cs="Times New Roman"/>
          <w:sz w:val="24"/>
          <w:lang w:val="lt-LT"/>
        </w:rPr>
        <w:t xml:space="preserve"> Nr. PPS-</w:t>
      </w:r>
    </w:p>
    <w:p w14:paraId="526C19E0" w14:textId="77777777" w:rsidR="003F59D4" w:rsidRPr="00790C7A" w:rsidRDefault="003F59D4" w:rsidP="005075B1">
      <w:pPr>
        <w:spacing w:after="0" w:line="240" w:lineRule="auto"/>
        <w:jc w:val="center"/>
        <w:rPr>
          <w:rFonts w:ascii="Times New Roman" w:hAnsi="Times New Roman" w:cs="Times New Roman"/>
          <w:sz w:val="24"/>
          <w:lang w:val="lt-LT"/>
        </w:rPr>
      </w:pPr>
    </w:p>
    <w:p w14:paraId="12D6F246" w14:textId="0574650E" w:rsidR="007D2F72" w:rsidRPr="00790C7A" w:rsidRDefault="003F59D4" w:rsidP="005075B1">
      <w:pPr>
        <w:spacing w:after="0" w:line="240" w:lineRule="auto"/>
        <w:jc w:val="center"/>
        <w:rPr>
          <w:rFonts w:ascii="Times New Roman" w:hAnsi="Times New Roman" w:cs="Times New Roman"/>
          <w:sz w:val="24"/>
          <w:lang w:val="lt-LT"/>
        </w:rPr>
      </w:pPr>
      <w:r w:rsidRPr="00790C7A">
        <w:rPr>
          <w:rFonts w:ascii="Times New Roman" w:hAnsi="Times New Roman" w:cs="Times New Roman"/>
          <w:sz w:val="24"/>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4"/>
        <w:gridCol w:w="7947"/>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5490B0D7"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 xml:space="preserve">Pirkimo objektas – Pardavėjas įsipareigoja parduoti ir </w:t>
            </w:r>
            <w:r w:rsidR="00925B94">
              <w:rPr>
                <w:rFonts w:ascii="Times New Roman" w:hAnsi="Times New Roman" w:cs="Times New Roman"/>
                <w:lang w:val="lt-LT"/>
              </w:rPr>
              <w:t>pris</w:t>
            </w:r>
            <w:r w:rsidR="00680702">
              <w:rPr>
                <w:rFonts w:ascii="Times New Roman" w:hAnsi="Times New Roman" w:cs="Times New Roman"/>
                <w:lang w:val="lt-LT"/>
              </w:rPr>
              <w:t>tatyti originalias dažų kasetes</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7836AE">
              <w:rPr>
                <w:rFonts w:ascii="Times New Roman" w:hAnsi="Times New Roman" w:cs="Times New Roman"/>
                <w:color w:val="000000"/>
                <w:lang w:val="lt-LT"/>
              </w:rPr>
              <w:t xml:space="preserve">r. 1 </w:t>
            </w:r>
            <w:r w:rsidR="00680702">
              <w:rPr>
                <w:rFonts w:ascii="Times New Roman" w:hAnsi="Times New Roman" w:cs="Times New Roman"/>
                <w:color w:val="000000"/>
                <w:lang w:val="lt-LT"/>
              </w:rPr>
              <w:t>„Originalios dažų kasetės</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2EA073A8" w14:textId="77777777" w:rsidR="00431E20" w:rsidRPr="0065786A"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5C81C09B" w14:textId="168D937B" w:rsidR="00431E20" w:rsidRPr="0065786A"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Pirkėjas neįs</w:t>
            </w:r>
            <w:r w:rsidR="00793813" w:rsidRPr="0065786A">
              <w:rPr>
                <w:rFonts w:ascii="Times New Roman" w:hAnsi="Times New Roman" w:cs="Times New Roman"/>
                <w:lang w:val="lt-LT"/>
              </w:rPr>
              <w:t>ipareigoja įsigyti Prekių už visą 5.1.1. punkte nurodytą Sutarties kainą.</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026E9D52" w14:textId="074ED4A0" w:rsidR="00212571" w:rsidRPr="00D25043" w:rsidRDefault="005C0C59" w:rsidP="00D25043">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 xml:space="preserve">Sutarties bendra kaina –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77A5577B"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982E96">
              <w:rPr>
                <w:rFonts w:ascii="Times New Roman" w:hAnsi="Times New Roman" w:cs="Times New Roman"/>
                <w:lang w:val="lt-LT"/>
              </w:rPr>
              <w:t>s ne vėliau</w:t>
            </w:r>
            <w:r w:rsidR="00680702">
              <w:rPr>
                <w:rFonts w:ascii="Times New Roman" w:hAnsi="Times New Roman" w:cs="Times New Roman"/>
                <w:lang w:val="lt-LT"/>
              </w:rPr>
              <w:t xml:space="preserve"> kaip per 30 (trisdešimt) kalendorinių dienų nuo Pirkėjo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Prekių kilmė negali būti iš Viešųjų pirkimų įstatyme 92 straipsnio 15 dalyje numatytame sąraše nurodytų valstybių ar teritorijų.</w:t>
            </w:r>
          </w:p>
          <w:p w14:paraId="00E8428A" w14:textId="77777777" w:rsidR="00EF4D8E"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Visos prekės privalo būti pristatytos vienu metu.</w:t>
            </w:r>
          </w:p>
          <w:p w14:paraId="550557EF" w14:textId="467DCFF3" w:rsidR="003D391E" w:rsidRPr="008806B5" w:rsidRDefault="00ED464E" w:rsidP="008806B5">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ED464E">
              <w:rPr>
                <w:rFonts w:ascii="Times New Roman" w:hAnsi="Times New Roman" w:cs="Times New Roman"/>
                <w:lang w:val="lt-LT"/>
              </w:rPr>
              <w:lastRenderedPageBreak/>
              <w:t>Prieš 24 (dvidešimt keturias) valandas Pardavėjas privalo informuoti Pirkėją apie planuojamą prekių pristatymą ir užpildyti Pirkėjo pateiktą atvykstančių lankytojų sąrašo lentelę.</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5C3E7C">
        <w:trPr>
          <w:trHeight w:val="925"/>
        </w:trPr>
        <w:tc>
          <w:tcPr>
            <w:tcW w:w="0" w:type="auto"/>
            <w:gridSpan w:val="2"/>
          </w:tcPr>
          <w:p w14:paraId="3C13A3E7" w14:textId="280F2B72"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ED464E">
              <w:rPr>
                <w:rFonts w:ascii="Times New Roman" w:hAnsi="Times New Roman" w:cs="Times New Roman"/>
                <w:lang w:val="lt-LT"/>
              </w:rPr>
              <w:t xml:space="preserve"> ne trumpesnis kaip </w:t>
            </w:r>
            <w:r w:rsidR="00B57E08">
              <w:rPr>
                <w:rFonts w:ascii="Times New Roman" w:hAnsi="Times New Roman" w:cs="Times New Roman"/>
                <w:lang w:val="lt-LT"/>
              </w:rPr>
              <w:t>2</w:t>
            </w:r>
            <w:r w:rsidR="00ED464E">
              <w:rPr>
                <w:rFonts w:ascii="Times New Roman" w:hAnsi="Times New Roman" w:cs="Times New Roman"/>
                <w:lang w:val="lt-LT"/>
              </w:rPr>
              <w:t>4</w:t>
            </w:r>
            <w:r w:rsidR="00B57E08">
              <w:rPr>
                <w:rFonts w:ascii="Times New Roman" w:hAnsi="Times New Roman" w:cs="Times New Roman"/>
                <w:lang w:val="lt-LT"/>
              </w:rPr>
              <w:t xml:space="preserve"> </w:t>
            </w:r>
            <w:r w:rsidR="00ED464E">
              <w:rPr>
                <w:rFonts w:ascii="Times New Roman" w:hAnsi="Times New Roman" w:cs="Times New Roman"/>
                <w:lang w:val="lt-LT"/>
              </w:rPr>
              <w:t>(dvidešimt keturi) mėnesiai</w:t>
            </w:r>
            <w:r w:rsidR="00A82C8E" w:rsidRPr="00E042C0">
              <w:rPr>
                <w:rFonts w:ascii="Times New Roman" w:hAnsi="Times New Roman" w:cs="Times New Roman"/>
                <w:lang w:val="lt-LT"/>
              </w:rPr>
              <w:t xml:space="preserve"> 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297F81">
              <w:rPr>
                <w:rFonts w:ascii="Times New Roman" w:hAnsi="Times New Roman" w:cs="Times New Roman"/>
                <w:lang w:val="lt-LT"/>
              </w:rPr>
              <w:t>ne vėliau kaip per 10</w:t>
            </w:r>
            <w:r w:rsidR="00A82C8E" w:rsidRPr="00E042C0">
              <w:rPr>
                <w:rFonts w:ascii="Times New Roman" w:hAnsi="Times New Roman" w:cs="Times New Roman"/>
                <w:lang w:val="lt-LT"/>
              </w:rPr>
              <w:t xml:space="preserve"> dienų nuo pranešimo apie trūkumus.</w:t>
            </w:r>
          </w:p>
        </w:tc>
      </w:tr>
      <w:tr w:rsidR="00063EE3" w:rsidRPr="00063EE3" w14:paraId="55A2688C" w14:textId="77777777" w:rsidTr="00124B64">
        <w:trPr>
          <w:trHeight w:val="2820"/>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2457F86"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13</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14B3111C" w:rsidR="00B80294" w:rsidRPr="00063EE3" w:rsidRDefault="00B80294"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Nutraukus Sutartį 13.1.3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470536EC" w:rsidR="00795E56" w:rsidRPr="00063EE3" w:rsidRDefault="00B51B8D"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Pažeidus 14.1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 xml:space="preserve">Lietuvos Respublikos Seimo 2002 m. </w:t>
            </w:r>
            <w:r w:rsidRPr="00C90BEB">
              <w:rPr>
                <w:rFonts w:ascii="Times New Roman" w:hAnsi="Times New Roman" w:cs="Times New Roman"/>
                <w:lang w:val="lt-LT"/>
              </w:rPr>
              <w:lastRenderedPageBreak/>
              <w:t>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51CF5E2F" w:rsidR="003D391E" w:rsidRPr="003D391E" w:rsidRDefault="007861AB" w:rsidP="003D391E">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82E96">
              <w:rPr>
                <w:rFonts w:ascii="Times New Roman" w:hAnsi="Times New Roman" w:cs="Times New Roman"/>
                <w:lang w:val="lt-LT"/>
              </w:rPr>
              <w:t>a iki 2025 gruodžio 31 dienos</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409541BD" w:rsidR="00A82C8E" w:rsidRPr="00CA6639" w:rsidRDefault="00A82C8E" w:rsidP="00D7546F">
            <w:pPr>
              <w:pStyle w:val="ListParagraph"/>
              <w:numPr>
                <w:ilvl w:val="1"/>
                <w:numId w:val="2"/>
              </w:numPr>
              <w:spacing w:after="0" w:line="240" w:lineRule="auto"/>
              <w:ind w:left="604" w:hanging="568"/>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E221E9">
              <w:rPr>
                <w:rFonts w:ascii="Times New Roman" w:hAnsi="Times New Roman" w:cs="Times New Roman"/>
                <w:lang w:val="lt-LT"/>
              </w:rPr>
              <w:t xml:space="preserve"> Raimondas Pranckevičius</w:t>
            </w:r>
            <w:r w:rsidR="00E221E9">
              <w:rPr>
                <w:rFonts w:ascii="Times New Roman" w:hAnsi="Times New Roman" w:cs="Times New Roman"/>
              </w:rPr>
              <w:t xml:space="preserve">, tel. +370 706 71364, el. p. </w:t>
            </w:r>
            <w:hyperlink r:id="rId8" w:history="1">
              <w:r w:rsidR="00E221E9" w:rsidRPr="00B53895">
                <w:rPr>
                  <w:rStyle w:val="Hyperlink"/>
                  <w:rFonts w:ascii="Times New Roman" w:hAnsi="Times New Roman" w:cs="Times New Roman"/>
                </w:rPr>
                <w:t>raimondas.pranckevicius@mil.lt</w:t>
              </w:r>
            </w:hyperlink>
            <w:r w:rsidR="00E221E9">
              <w:rPr>
                <w:rFonts w:ascii="Times New Roman" w:hAnsi="Times New Roman" w:cs="Times New Roman"/>
              </w:rPr>
              <w:t xml:space="preserve"> </w:t>
            </w:r>
          </w:p>
          <w:p w14:paraId="79C71705" w14:textId="77777777" w:rsidR="00A82C8E" w:rsidRPr="00E042C0" w:rsidRDefault="00A82C8E" w:rsidP="00A00819">
            <w:pPr>
              <w:pStyle w:val="ListParagraph"/>
              <w:numPr>
                <w:ilvl w:val="1"/>
                <w:numId w:val="2"/>
              </w:numPr>
              <w:spacing w:after="0" w:line="240" w:lineRule="auto"/>
              <w:ind w:left="604" w:hanging="574"/>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54AF2228" w14:textId="10612DD7" w:rsidR="006F13BA" w:rsidRPr="00682CAD" w:rsidRDefault="007861AB" w:rsidP="00682CAD">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682CAD">
              <w:rPr>
                <w:rFonts w:ascii="Times New Roman" w:hAnsi="Times New Roman" w:cs="Times New Roman"/>
                <w:lang w:val="lt-LT"/>
              </w:rPr>
              <w:t>Originalios dažų kasetės</w:t>
            </w:r>
            <w:r>
              <w:rPr>
                <w:rFonts w:ascii="Times New Roman" w:hAnsi="Times New Roman" w:cs="Times New Roman"/>
                <w:lang w:val="lt-LT"/>
              </w:rPr>
              <w:t xml:space="preserve">“ </w:t>
            </w:r>
            <w:r w:rsidR="001D31BA">
              <w:rPr>
                <w:rFonts w:ascii="Times New Roman" w:hAnsi="Times New Roman" w:cs="Times New Roman"/>
                <w:lang w:val="lt-LT"/>
              </w:rPr>
              <w:t>(1 lapas</w:t>
            </w:r>
            <w:r w:rsidRPr="008C52B8">
              <w:rPr>
                <w:rFonts w:ascii="Times New Roman" w:hAnsi="Times New Roman" w:cs="Times New Roman"/>
                <w:lang w:val="lt-LT"/>
              </w:rPr>
              <w:t>)</w:t>
            </w:r>
            <w:r w:rsidR="006F13BA">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600729B8"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p w14:paraId="7B160B07" w14:textId="7F75F6C9" w:rsidR="004D654A" w:rsidRPr="004D654A" w:rsidRDefault="0004211F" w:rsidP="004D654A">
            <w:pPr>
              <w:pStyle w:val="ListParagraph"/>
              <w:tabs>
                <w:tab w:val="left" w:pos="317"/>
              </w:tabs>
              <w:spacing w:after="0" w:line="240" w:lineRule="auto"/>
              <w:ind w:left="32"/>
              <w:rPr>
                <w:rFonts w:ascii="Times New Roman" w:hAnsi="Times New Roman" w:cs="Times New Roman"/>
                <w:lang w:val="lt-LT"/>
              </w:rPr>
            </w:pPr>
            <w:r>
              <w:rPr>
                <w:rFonts w:ascii="Times New Roman" w:hAnsi="Times New Roman" w:cs="Times New Roman"/>
                <w:lang w:val="lt-LT"/>
              </w:rPr>
              <w:t xml:space="preserve">PVM </w:t>
            </w:r>
            <w:r w:rsidR="004D654A" w:rsidRPr="004D654A">
              <w:rPr>
                <w:rFonts w:ascii="Times New Roman" w:hAnsi="Times New Roman" w:cs="Times New Roman"/>
                <w:lang w:val="lt-LT"/>
              </w:rPr>
              <w:t>kodas LT 887326716</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5E06CD2B" w14:textId="504BAE45" w:rsidR="004D654A" w:rsidRDefault="004D654A" w:rsidP="00A00819">
      <w:pPr>
        <w:spacing w:after="0" w:line="240" w:lineRule="auto"/>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7A1A7147" w14:textId="7874B9E5" w:rsidR="004D654A" w:rsidRDefault="00E134FF" w:rsidP="00E134FF">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Bataliono vadas</w:t>
      </w:r>
    </w:p>
    <w:p w14:paraId="310C79F5" w14:textId="49DD7A16" w:rsidR="00E134FF" w:rsidRPr="00995612" w:rsidRDefault="00A2358C" w:rsidP="00E134FF">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D94AB7F"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380F3737" w14:textId="196E78FA" w:rsidR="00E134FF" w:rsidRDefault="00E134FF" w:rsidP="00C90BEB">
      <w:pPr>
        <w:spacing w:after="0" w:line="240" w:lineRule="auto"/>
        <w:rPr>
          <w:rFonts w:ascii="Times New Roman" w:hAnsi="Times New Roman" w:cs="Times New Roman"/>
          <w:sz w:val="24"/>
        </w:rPr>
      </w:pPr>
    </w:p>
    <w:p w14:paraId="3E23BBD1" w14:textId="483D42A0" w:rsidR="003D391E" w:rsidRDefault="003D391E" w:rsidP="00C90BEB">
      <w:pPr>
        <w:spacing w:after="0" w:line="240" w:lineRule="auto"/>
        <w:rPr>
          <w:rFonts w:ascii="Times New Roman" w:hAnsi="Times New Roman" w:cs="Times New Roman"/>
          <w:sz w:val="24"/>
        </w:rPr>
      </w:pPr>
    </w:p>
    <w:p w14:paraId="618242B9" w14:textId="25A880D7" w:rsidR="008806B5" w:rsidRDefault="008806B5" w:rsidP="00C90BEB">
      <w:pPr>
        <w:spacing w:after="0" w:line="240" w:lineRule="auto"/>
        <w:rPr>
          <w:rFonts w:ascii="Times New Roman" w:hAnsi="Times New Roman" w:cs="Times New Roman"/>
          <w:sz w:val="24"/>
        </w:rPr>
      </w:pPr>
    </w:p>
    <w:p w14:paraId="4C637D30" w14:textId="7186942A" w:rsidR="00A00819" w:rsidRDefault="00A00819" w:rsidP="00C90BEB">
      <w:pPr>
        <w:spacing w:after="0" w:line="240" w:lineRule="auto"/>
        <w:rPr>
          <w:rFonts w:ascii="Times New Roman" w:hAnsi="Times New Roman" w:cs="Times New Roman"/>
          <w:sz w:val="24"/>
        </w:rPr>
      </w:pPr>
    </w:p>
    <w:p w14:paraId="52EEFF20" w14:textId="27B96F96" w:rsidR="00682CAD" w:rsidRDefault="00682CAD" w:rsidP="00C90BEB">
      <w:pPr>
        <w:spacing w:after="0" w:line="240" w:lineRule="auto"/>
        <w:rPr>
          <w:rFonts w:ascii="Times New Roman" w:hAnsi="Times New Roman" w:cs="Times New Roman"/>
          <w:sz w:val="24"/>
        </w:rPr>
      </w:pPr>
    </w:p>
    <w:p w14:paraId="0F130807" w14:textId="0CAB2FC7" w:rsidR="00E134FF" w:rsidRDefault="00E134FF" w:rsidP="00C90BEB">
      <w:pPr>
        <w:spacing w:after="0" w:line="240" w:lineRule="auto"/>
        <w:rPr>
          <w:rFonts w:ascii="Times New Roman" w:hAnsi="Times New Roman" w:cs="Times New Roman"/>
          <w:sz w:val="24"/>
        </w:rPr>
      </w:pPr>
    </w:p>
    <w:p w14:paraId="1E54940D" w14:textId="77777777" w:rsidR="00E221E9" w:rsidRDefault="00E221E9" w:rsidP="00C90BEB">
      <w:pPr>
        <w:spacing w:after="0" w:line="240" w:lineRule="auto"/>
        <w:rPr>
          <w:rFonts w:ascii="Times New Roman" w:hAnsi="Times New Roman" w:cs="Times New Roman"/>
          <w:sz w:val="24"/>
        </w:rPr>
      </w:pPr>
    </w:p>
    <w:p w14:paraId="762A6A89" w14:textId="2FCDD762"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2347EE">
        <w:rPr>
          <w:rFonts w:ascii="Times New Roman" w:hAnsi="Times New Roman" w:cs="Times New Roman"/>
          <w:sz w:val="24"/>
          <w:lang w:val="lt-LT"/>
        </w:rPr>
        <w:t>2025</w:t>
      </w:r>
      <w:r w:rsidR="006F13BA">
        <w:rPr>
          <w:rFonts w:ascii="Times New Roman" w:hAnsi="Times New Roman" w:cs="Times New Roman"/>
          <w:sz w:val="24"/>
          <w:lang w:val="lt-LT"/>
        </w:rPr>
        <w:t xml:space="preserve"> m.                </w:t>
      </w:r>
      <w:r w:rsidR="00790C7A">
        <w:rPr>
          <w:rFonts w:ascii="Times New Roman" w:hAnsi="Times New Roman" w:cs="Times New Roman"/>
          <w:sz w:val="24"/>
          <w:lang w:val="lt-LT"/>
        </w:rPr>
        <w:t xml:space="preserve">        </w:t>
      </w:r>
      <w:r w:rsidRPr="00995612">
        <w:rPr>
          <w:rFonts w:ascii="Times New Roman" w:hAnsi="Times New Roman" w:cs="Times New Roman"/>
          <w:sz w:val="24"/>
          <w:lang w:val="lt-LT"/>
        </w:rPr>
        <w:t>d.</w:t>
      </w:r>
    </w:p>
    <w:p w14:paraId="5865D600" w14:textId="7665CB05"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E221E9">
        <w:rPr>
          <w:rFonts w:ascii="Times New Roman" w:hAnsi="Times New Roman" w:cs="Times New Roman"/>
          <w:sz w:val="24"/>
          <w:lang w:val="lt-LT"/>
        </w:rPr>
        <w:t>Originalių dažų kasečių</w:t>
      </w:r>
    </w:p>
    <w:p w14:paraId="49607945" w14:textId="34E3F091"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2C4F252" w14:textId="2DA97D90" w:rsidR="00624AEE" w:rsidRDefault="00E221E9"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Originalios dažų kasetės</w:t>
      </w:r>
    </w:p>
    <w:p w14:paraId="09AE70F0" w14:textId="77777777" w:rsidR="00D25043" w:rsidRDefault="00D25043"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677"/>
        <w:gridCol w:w="851"/>
        <w:gridCol w:w="850"/>
        <w:gridCol w:w="1560"/>
        <w:gridCol w:w="1559"/>
      </w:tblGrid>
      <w:tr w:rsidR="00624AEE" w:rsidRPr="00136C8F" w14:paraId="3FCE671F" w14:textId="77777777" w:rsidTr="0046397F">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677"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851"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 xml:space="preserve">Suma </w:t>
            </w: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r>
      <w:tr w:rsidR="00624AEE" w:rsidRPr="00B46EEB" w14:paraId="3F6F746A" w14:textId="77777777" w:rsidTr="0046397F">
        <w:trPr>
          <w:trHeight w:val="519"/>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677" w:type="dxa"/>
            <w:vAlign w:val="center"/>
          </w:tcPr>
          <w:p w14:paraId="6E1BF47D" w14:textId="1ACE253E" w:rsidR="00624AEE" w:rsidRDefault="002115A5"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Originali dažų kasetė</w:t>
            </w:r>
            <w:r w:rsidR="00486A33" w:rsidRPr="00486A33">
              <w:rPr>
                <w:rFonts w:ascii="Times New Roman" w:eastAsia="Times New Roman" w:hAnsi="Times New Roman" w:cs="Times New Roman"/>
                <w:b/>
                <w:lang w:val="lt-LT"/>
              </w:rPr>
              <w:t>.</w:t>
            </w:r>
          </w:p>
          <w:p w14:paraId="5C2F06D3" w14:textId="39FF3EF6" w:rsidR="00486A33" w:rsidRPr="00C37D89" w:rsidRDefault="003D6099" w:rsidP="00567805">
            <w:pPr>
              <w:spacing w:after="0" w:line="240" w:lineRule="auto"/>
              <w:outlineLvl w:val="0"/>
              <w:rPr>
                <w:rFonts w:ascii="Times New Roman" w:hAnsi="Times New Roman" w:cs="Times New Roman"/>
                <w:lang w:val="lt-LT"/>
              </w:rPr>
            </w:pPr>
            <w:r w:rsidRPr="003D6099">
              <w:rPr>
                <w:rFonts w:ascii="Times New Roman" w:hAnsi="Times New Roman" w:cs="Times New Roman"/>
                <w:lang w:val="lt-LT"/>
              </w:rPr>
              <w:t xml:space="preserve">Spausdintuvo Epson </w:t>
            </w:r>
            <w:proofErr w:type="spellStart"/>
            <w:r w:rsidRPr="003D6099">
              <w:rPr>
                <w:rFonts w:ascii="Times New Roman" w:hAnsi="Times New Roman" w:cs="Times New Roman"/>
                <w:lang w:val="lt-LT"/>
              </w:rPr>
              <w:t>SureColor</w:t>
            </w:r>
            <w:proofErr w:type="spellEnd"/>
            <w:r w:rsidRPr="003D6099">
              <w:rPr>
                <w:rFonts w:ascii="Times New Roman" w:hAnsi="Times New Roman" w:cs="Times New Roman"/>
                <w:lang w:val="lt-LT"/>
              </w:rPr>
              <w:t xml:space="preserve"> SC-T5100N, OEM dažų kasetė </w:t>
            </w:r>
            <w:proofErr w:type="spellStart"/>
            <w:r w:rsidRPr="003D6099">
              <w:rPr>
                <w:rFonts w:ascii="Times New Roman" w:hAnsi="Times New Roman" w:cs="Times New Roman"/>
                <w:lang w:val="lt-LT"/>
              </w:rPr>
              <w:t>Singlepack</w:t>
            </w:r>
            <w:proofErr w:type="spellEnd"/>
            <w:r w:rsidRPr="003D6099">
              <w:rPr>
                <w:rFonts w:ascii="Times New Roman" w:hAnsi="Times New Roman" w:cs="Times New Roman"/>
                <w:lang w:val="lt-LT"/>
              </w:rPr>
              <w:t xml:space="preserve"> </w:t>
            </w:r>
            <w:proofErr w:type="spellStart"/>
            <w:r w:rsidRPr="003D6099">
              <w:rPr>
                <w:rFonts w:ascii="Times New Roman" w:hAnsi="Times New Roman" w:cs="Times New Roman"/>
                <w:lang w:val="lt-LT"/>
              </w:rPr>
              <w:t>UltraChrome</w:t>
            </w:r>
            <w:proofErr w:type="spellEnd"/>
            <w:r w:rsidRPr="003D6099">
              <w:rPr>
                <w:rFonts w:ascii="Times New Roman" w:hAnsi="Times New Roman" w:cs="Times New Roman"/>
                <w:lang w:val="lt-LT"/>
              </w:rPr>
              <w:t xml:space="preserve"> XD2 </w:t>
            </w:r>
            <w:proofErr w:type="spellStart"/>
            <w:r w:rsidRPr="003D6099">
              <w:rPr>
                <w:rFonts w:ascii="Times New Roman" w:hAnsi="Times New Roman" w:cs="Times New Roman"/>
                <w:lang w:val="lt-LT"/>
              </w:rPr>
              <w:t>Black</w:t>
            </w:r>
            <w:proofErr w:type="spellEnd"/>
            <w:r w:rsidRPr="003D6099">
              <w:rPr>
                <w:rFonts w:ascii="Times New Roman" w:hAnsi="Times New Roman" w:cs="Times New Roman"/>
                <w:lang w:val="lt-LT"/>
              </w:rPr>
              <w:t xml:space="preserve"> T40D140(80ml); indeksas C13T40D140; spalva </w:t>
            </w:r>
            <w:proofErr w:type="spellStart"/>
            <w:r w:rsidRPr="003D6099">
              <w:rPr>
                <w:rFonts w:ascii="Times New Roman" w:hAnsi="Times New Roman" w:cs="Times New Roman"/>
                <w:lang w:val="lt-LT"/>
              </w:rPr>
              <w:t>Black</w:t>
            </w:r>
            <w:proofErr w:type="spellEnd"/>
            <w:r w:rsidRPr="003D6099">
              <w:rPr>
                <w:rFonts w:ascii="Times New Roman" w:hAnsi="Times New Roman" w:cs="Times New Roman"/>
                <w:lang w:val="lt-LT"/>
              </w:rPr>
              <w:t>.</w:t>
            </w:r>
          </w:p>
        </w:tc>
        <w:tc>
          <w:tcPr>
            <w:tcW w:w="851"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34BC244" w14:textId="29EB5451" w:rsidR="00624AEE" w:rsidRPr="00925B94" w:rsidRDefault="003D6099"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4</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605DD">
            <w:pPr>
              <w:spacing w:after="0" w:line="240" w:lineRule="auto"/>
              <w:jc w:val="center"/>
              <w:outlineLvl w:val="0"/>
              <w:rPr>
                <w:rFonts w:ascii="Times New Roman" w:eastAsia="Times New Roman" w:hAnsi="Times New Roman" w:cs="Times New Roman"/>
                <w:szCs w:val="24"/>
                <w:lang w:val="lt-LT"/>
              </w:rPr>
            </w:pPr>
          </w:p>
        </w:tc>
      </w:tr>
      <w:tr w:rsidR="002115A5" w:rsidRPr="00B46EEB" w14:paraId="0A761FB0" w14:textId="77777777" w:rsidTr="003D6099">
        <w:trPr>
          <w:trHeight w:val="519"/>
        </w:trPr>
        <w:tc>
          <w:tcPr>
            <w:tcW w:w="710" w:type="dxa"/>
            <w:vAlign w:val="center"/>
          </w:tcPr>
          <w:p w14:paraId="49C52324" w14:textId="1592E76C" w:rsidR="002115A5" w:rsidRPr="005F6F90" w:rsidRDefault="002115A5" w:rsidP="002115A5">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2</w:t>
            </w:r>
          </w:p>
        </w:tc>
        <w:tc>
          <w:tcPr>
            <w:tcW w:w="4677" w:type="dxa"/>
            <w:vAlign w:val="center"/>
          </w:tcPr>
          <w:p w14:paraId="0D00BFE2" w14:textId="77777777" w:rsidR="003D6099" w:rsidRDefault="003D6099" w:rsidP="003D6099">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Originali dažų kasetė</w:t>
            </w:r>
            <w:r w:rsidRPr="00486A33">
              <w:rPr>
                <w:rFonts w:ascii="Times New Roman" w:eastAsia="Times New Roman" w:hAnsi="Times New Roman" w:cs="Times New Roman"/>
                <w:b/>
                <w:lang w:val="lt-LT"/>
              </w:rPr>
              <w:t>.</w:t>
            </w:r>
          </w:p>
          <w:p w14:paraId="2AE1ED61" w14:textId="4F08F703" w:rsidR="002115A5" w:rsidRPr="003D6099" w:rsidRDefault="003D6099" w:rsidP="002115A5">
            <w:pPr>
              <w:spacing w:after="0" w:line="240" w:lineRule="auto"/>
              <w:outlineLvl w:val="0"/>
              <w:rPr>
                <w:rFonts w:ascii="Times New Roman" w:eastAsia="Times New Roman" w:hAnsi="Times New Roman" w:cs="Times New Roman"/>
                <w:lang w:val="lt-LT"/>
              </w:rPr>
            </w:pPr>
            <w:r w:rsidRPr="003D6099">
              <w:rPr>
                <w:rFonts w:ascii="Times New Roman" w:eastAsia="Times New Roman" w:hAnsi="Times New Roman" w:cs="Times New Roman"/>
                <w:lang w:val="lt-LT"/>
              </w:rPr>
              <w:t xml:space="preserve">Spausdintuvo Epson </w:t>
            </w:r>
            <w:proofErr w:type="spellStart"/>
            <w:r w:rsidRPr="003D6099">
              <w:rPr>
                <w:rFonts w:ascii="Times New Roman" w:eastAsia="Times New Roman" w:hAnsi="Times New Roman" w:cs="Times New Roman"/>
                <w:lang w:val="lt-LT"/>
              </w:rPr>
              <w:t>SureColor</w:t>
            </w:r>
            <w:proofErr w:type="spellEnd"/>
            <w:r w:rsidRPr="003D6099">
              <w:rPr>
                <w:rFonts w:ascii="Times New Roman" w:eastAsia="Times New Roman" w:hAnsi="Times New Roman" w:cs="Times New Roman"/>
                <w:lang w:val="lt-LT"/>
              </w:rPr>
              <w:t xml:space="preserve"> SC-T5100N, OEM dažų kasetė </w:t>
            </w:r>
            <w:proofErr w:type="spellStart"/>
            <w:r w:rsidRPr="003D6099">
              <w:rPr>
                <w:rFonts w:ascii="Times New Roman" w:eastAsia="Times New Roman" w:hAnsi="Times New Roman" w:cs="Times New Roman"/>
                <w:lang w:val="lt-LT"/>
              </w:rPr>
              <w:t>Singlepack</w:t>
            </w:r>
            <w:proofErr w:type="spellEnd"/>
            <w:r w:rsidRPr="003D6099">
              <w:rPr>
                <w:rFonts w:ascii="Times New Roman" w:eastAsia="Times New Roman" w:hAnsi="Times New Roman" w:cs="Times New Roman"/>
                <w:lang w:val="lt-LT"/>
              </w:rPr>
              <w:t xml:space="preserve"> </w:t>
            </w:r>
            <w:proofErr w:type="spellStart"/>
            <w:r w:rsidRPr="003D6099">
              <w:rPr>
                <w:rFonts w:ascii="Times New Roman" w:eastAsia="Times New Roman" w:hAnsi="Times New Roman" w:cs="Times New Roman"/>
                <w:lang w:val="lt-LT"/>
              </w:rPr>
              <w:t>UltraChrome</w:t>
            </w:r>
            <w:proofErr w:type="spellEnd"/>
            <w:r w:rsidRPr="003D6099">
              <w:rPr>
                <w:rFonts w:ascii="Times New Roman" w:eastAsia="Times New Roman" w:hAnsi="Times New Roman" w:cs="Times New Roman"/>
                <w:lang w:val="lt-LT"/>
              </w:rPr>
              <w:t xml:space="preserve"> XD2 </w:t>
            </w:r>
            <w:proofErr w:type="spellStart"/>
            <w:r w:rsidRPr="003D6099">
              <w:rPr>
                <w:rFonts w:ascii="Times New Roman" w:eastAsia="Times New Roman" w:hAnsi="Times New Roman" w:cs="Times New Roman"/>
                <w:lang w:val="lt-LT"/>
              </w:rPr>
              <w:t>Cyan</w:t>
            </w:r>
            <w:proofErr w:type="spellEnd"/>
            <w:r w:rsidRPr="003D6099">
              <w:rPr>
                <w:rFonts w:ascii="Times New Roman" w:eastAsia="Times New Roman" w:hAnsi="Times New Roman" w:cs="Times New Roman"/>
                <w:lang w:val="lt-LT"/>
              </w:rPr>
              <w:t xml:space="preserve"> T40D240 (50ml); indeksas C13T40D240; spalva </w:t>
            </w:r>
            <w:proofErr w:type="spellStart"/>
            <w:r w:rsidRPr="003D6099">
              <w:rPr>
                <w:rFonts w:ascii="Times New Roman" w:eastAsia="Times New Roman" w:hAnsi="Times New Roman" w:cs="Times New Roman"/>
                <w:lang w:val="lt-LT"/>
              </w:rPr>
              <w:t>Cyan</w:t>
            </w:r>
            <w:proofErr w:type="spellEnd"/>
            <w:r w:rsidRPr="003D6099">
              <w:rPr>
                <w:rFonts w:ascii="Times New Roman" w:eastAsia="Times New Roman" w:hAnsi="Times New Roman" w:cs="Times New Roman"/>
                <w:lang w:val="lt-LT"/>
              </w:rPr>
              <w:t>.</w:t>
            </w:r>
          </w:p>
        </w:tc>
        <w:tc>
          <w:tcPr>
            <w:tcW w:w="851" w:type="dxa"/>
            <w:vAlign w:val="center"/>
          </w:tcPr>
          <w:p w14:paraId="385C6440" w14:textId="14942129" w:rsidR="002115A5" w:rsidRDefault="002115A5" w:rsidP="002115A5">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sidRPr="009E177C">
              <w:rPr>
                <w:rFonts w:ascii="Times New Roman" w:eastAsia="Times New Roman" w:hAnsi="Times New Roman" w:cs="Times New Roman"/>
                <w:color w:val="000000"/>
                <w:szCs w:val="24"/>
                <w:lang w:val="en-GB"/>
              </w:rPr>
              <w:t>vnt</w:t>
            </w:r>
            <w:proofErr w:type="spellEnd"/>
            <w:proofErr w:type="gramEnd"/>
            <w:r w:rsidRPr="009E177C">
              <w:rPr>
                <w:rFonts w:ascii="Times New Roman" w:eastAsia="Times New Roman" w:hAnsi="Times New Roman" w:cs="Times New Roman"/>
                <w:color w:val="000000"/>
                <w:szCs w:val="24"/>
                <w:lang w:val="en-GB"/>
              </w:rPr>
              <w:t>.</w:t>
            </w:r>
          </w:p>
        </w:tc>
        <w:tc>
          <w:tcPr>
            <w:tcW w:w="850" w:type="dxa"/>
            <w:vAlign w:val="center"/>
          </w:tcPr>
          <w:p w14:paraId="4B7EC610" w14:textId="7856450C" w:rsidR="002115A5" w:rsidRDefault="003D6099" w:rsidP="002115A5">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3</w:t>
            </w:r>
          </w:p>
        </w:tc>
        <w:tc>
          <w:tcPr>
            <w:tcW w:w="1560" w:type="dxa"/>
            <w:vAlign w:val="center"/>
          </w:tcPr>
          <w:p w14:paraId="59813358" w14:textId="77777777" w:rsidR="002115A5" w:rsidRPr="00B46EEB" w:rsidRDefault="002115A5" w:rsidP="002115A5">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4C9BA783" w14:textId="77777777" w:rsidR="002115A5" w:rsidRPr="000E375B" w:rsidRDefault="002115A5" w:rsidP="002115A5">
            <w:pPr>
              <w:spacing w:after="0" w:line="240" w:lineRule="auto"/>
              <w:jc w:val="center"/>
              <w:outlineLvl w:val="0"/>
              <w:rPr>
                <w:rFonts w:ascii="Times New Roman" w:eastAsia="Times New Roman" w:hAnsi="Times New Roman" w:cs="Times New Roman"/>
                <w:szCs w:val="24"/>
                <w:lang w:val="lt-LT"/>
              </w:rPr>
            </w:pPr>
          </w:p>
        </w:tc>
      </w:tr>
      <w:tr w:rsidR="002115A5" w:rsidRPr="00B46EEB" w14:paraId="696C2707" w14:textId="77777777" w:rsidTr="003D6099">
        <w:trPr>
          <w:trHeight w:val="519"/>
        </w:trPr>
        <w:tc>
          <w:tcPr>
            <w:tcW w:w="710" w:type="dxa"/>
            <w:vAlign w:val="center"/>
          </w:tcPr>
          <w:p w14:paraId="18E460D6" w14:textId="05426E72" w:rsidR="002115A5" w:rsidRPr="005F6F90" w:rsidRDefault="002115A5" w:rsidP="002115A5">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3</w:t>
            </w:r>
          </w:p>
        </w:tc>
        <w:tc>
          <w:tcPr>
            <w:tcW w:w="4677" w:type="dxa"/>
            <w:vAlign w:val="center"/>
          </w:tcPr>
          <w:p w14:paraId="09D76989" w14:textId="77777777" w:rsidR="002115A5" w:rsidRDefault="003D6099" w:rsidP="002115A5">
            <w:pPr>
              <w:spacing w:after="0" w:line="240" w:lineRule="auto"/>
              <w:outlineLvl w:val="0"/>
              <w:rPr>
                <w:rFonts w:ascii="Times New Roman" w:eastAsia="Times New Roman" w:hAnsi="Times New Roman" w:cs="Times New Roman"/>
                <w:b/>
                <w:lang w:val="lt-LT"/>
              </w:rPr>
            </w:pPr>
            <w:r w:rsidRPr="003D6099">
              <w:rPr>
                <w:rFonts w:ascii="Times New Roman" w:eastAsia="Times New Roman" w:hAnsi="Times New Roman" w:cs="Times New Roman"/>
                <w:b/>
                <w:lang w:val="lt-LT"/>
              </w:rPr>
              <w:t>Originali dažų kasetė.</w:t>
            </w:r>
          </w:p>
          <w:p w14:paraId="0C63A2AD" w14:textId="5B55F1FF" w:rsidR="003D6099" w:rsidRPr="003D6099" w:rsidRDefault="003D6099" w:rsidP="002115A5">
            <w:pPr>
              <w:spacing w:after="0" w:line="240" w:lineRule="auto"/>
              <w:outlineLvl w:val="0"/>
              <w:rPr>
                <w:rFonts w:ascii="Times New Roman" w:eastAsia="Times New Roman" w:hAnsi="Times New Roman" w:cs="Times New Roman"/>
                <w:lang w:val="lt-LT"/>
              </w:rPr>
            </w:pPr>
            <w:r w:rsidRPr="003D6099">
              <w:rPr>
                <w:rFonts w:ascii="Times New Roman" w:eastAsia="Times New Roman" w:hAnsi="Times New Roman" w:cs="Times New Roman"/>
                <w:lang w:val="lt-LT"/>
              </w:rPr>
              <w:t xml:space="preserve">Spausdintuvo Epson </w:t>
            </w:r>
            <w:proofErr w:type="spellStart"/>
            <w:r w:rsidRPr="003D6099">
              <w:rPr>
                <w:rFonts w:ascii="Times New Roman" w:eastAsia="Times New Roman" w:hAnsi="Times New Roman" w:cs="Times New Roman"/>
                <w:lang w:val="lt-LT"/>
              </w:rPr>
              <w:t>SureColor</w:t>
            </w:r>
            <w:proofErr w:type="spellEnd"/>
            <w:r w:rsidRPr="003D6099">
              <w:rPr>
                <w:rFonts w:ascii="Times New Roman" w:eastAsia="Times New Roman" w:hAnsi="Times New Roman" w:cs="Times New Roman"/>
                <w:lang w:val="lt-LT"/>
              </w:rPr>
              <w:t xml:space="preserve"> SC-T5100N, OEM dažų kasetė </w:t>
            </w:r>
            <w:proofErr w:type="spellStart"/>
            <w:r w:rsidRPr="003D6099">
              <w:rPr>
                <w:rFonts w:ascii="Times New Roman" w:eastAsia="Times New Roman" w:hAnsi="Times New Roman" w:cs="Times New Roman"/>
                <w:lang w:val="lt-LT"/>
              </w:rPr>
              <w:t>Singlepack</w:t>
            </w:r>
            <w:proofErr w:type="spellEnd"/>
            <w:r w:rsidRPr="003D6099">
              <w:rPr>
                <w:rFonts w:ascii="Times New Roman" w:eastAsia="Times New Roman" w:hAnsi="Times New Roman" w:cs="Times New Roman"/>
                <w:lang w:val="lt-LT"/>
              </w:rPr>
              <w:t xml:space="preserve"> </w:t>
            </w:r>
            <w:proofErr w:type="spellStart"/>
            <w:r w:rsidRPr="003D6099">
              <w:rPr>
                <w:rFonts w:ascii="Times New Roman" w:eastAsia="Times New Roman" w:hAnsi="Times New Roman" w:cs="Times New Roman"/>
                <w:lang w:val="lt-LT"/>
              </w:rPr>
              <w:t>UltraChrome</w:t>
            </w:r>
            <w:proofErr w:type="spellEnd"/>
            <w:r w:rsidRPr="003D6099">
              <w:rPr>
                <w:rFonts w:ascii="Times New Roman" w:eastAsia="Times New Roman" w:hAnsi="Times New Roman" w:cs="Times New Roman"/>
                <w:lang w:val="lt-LT"/>
              </w:rPr>
              <w:t xml:space="preserve"> XD2 </w:t>
            </w:r>
            <w:proofErr w:type="spellStart"/>
            <w:r w:rsidRPr="003D6099">
              <w:rPr>
                <w:rFonts w:ascii="Times New Roman" w:eastAsia="Times New Roman" w:hAnsi="Times New Roman" w:cs="Times New Roman"/>
                <w:lang w:val="lt-LT"/>
              </w:rPr>
              <w:t>Magenta</w:t>
            </w:r>
            <w:proofErr w:type="spellEnd"/>
            <w:r w:rsidRPr="003D6099">
              <w:rPr>
                <w:rFonts w:ascii="Times New Roman" w:eastAsia="Times New Roman" w:hAnsi="Times New Roman" w:cs="Times New Roman"/>
                <w:lang w:val="lt-LT"/>
              </w:rPr>
              <w:t xml:space="preserve"> T40D340 (50ml); indeksas C13T40D340; spalva </w:t>
            </w:r>
            <w:proofErr w:type="spellStart"/>
            <w:r w:rsidRPr="003D6099">
              <w:rPr>
                <w:rFonts w:ascii="Times New Roman" w:eastAsia="Times New Roman" w:hAnsi="Times New Roman" w:cs="Times New Roman"/>
                <w:lang w:val="lt-LT"/>
              </w:rPr>
              <w:t>Magenta</w:t>
            </w:r>
            <w:proofErr w:type="spellEnd"/>
            <w:r w:rsidRPr="003D6099">
              <w:rPr>
                <w:rFonts w:ascii="Times New Roman" w:eastAsia="Times New Roman" w:hAnsi="Times New Roman" w:cs="Times New Roman"/>
                <w:lang w:val="lt-LT"/>
              </w:rPr>
              <w:t>.</w:t>
            </w:r>
          </w:p>
        </w:tc>
        <w:tc>
          <w:tcPr>
            <w:tcW w:w="851" w:type="dxa"/>
            <w:vAlign w:val="center"/>
          </w:tcPr>
          <w:p w14:paraId="65646B69" w14:textId="11C8E15D" w:rsidR="002115A5" w:rsidRDefault="002115A5" w:rsidP="002115A5">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sidRPr="009E177C">
              <w:rPr>
                <w:rFonts w:ascii="Times New Roman" w:eastAsia="Times New Roman" w:hAnsi="Times New Roman" w:cs="Times New Roman"/>
                <w:color w:val="000000"/>
                <w:szCs w:val="24"/>
                <w:lang w:val="en-GB"/>
              </w:rPr>
              <w:t>vnt</w:t>
            </w:r>
            <w:proofErr w:type="spellEnd"/>
            <w:proofErr w:type="gramEnd"/>
            <w:r w:rsidRPr="009E177C">
              <w:rPr>
                <w:rFonts w:ascii="Times New Roman" w:eastAsia="Times New Roman" w:hAnsi="Times New Roman" w:cs="Times New Roman"/>
                <w:color w:val="000000"/>
                <w:szCs w:val="24"/>
                <w:lang w:val="en-GB"/>
              </w:rPr>
              <w:t>.</w:t>
            </w:r>
          </w:p>
        </w:tc>
        <w:tc>
          <w:tcPr>
            <w:tcW w:w="850" w:type="dxa"/>
            <w:vAlign w:val="center"/>
          </w:tcPr>
          <w:p w14:paraId="58798D8F" w14:textId="6EE6D2D4" w:rsidR="002115A5" w:rsidRDefault="003D6099" w:rsidP="002115A5">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3</w:t>
            </w:r>
          </w:p>
        </w:tc>
        <w:tc>
          <w:tcPr>
            <w:tcW w:w="1560" w:type="dxa"/>
            <w:vAlign w:val="center"/>
          </w:tcPr>
          <w:p w14:paraId="4A388ECD" w14:textId="77777777" w:rsidR="002115A5" w:rsidRPr="00B46EEB" w:rsidRDefault="002115A5" w:rsidP="002115A5">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76CB1EDE" w14:textId="77777777" w:rsidR="002115A5" w:rsidRPr="000E375B" w:rsidRDefault="002115A5" w:rsidP="002115A5">
            <w:pPr>
              <w:spacing w:after="0" w:line="240" w:lineRule="auto"/>
              <w:jc w:val="center"/>
              <w:outlineLvl w:val="0"/>
              <w:rPr>
                <w:rFonts w:ascii="Times New Roman" w:eastAsia="Times New Roman" w:hAnsi="Times New Roman" w:cs="Times New Roman"/>
                <w:szCs w:val="24"/>
                <w:lang w:val="lt-LT"/>
              </w:rPr>
            </w:pPr>
          </w:p>
        </w:tc>
      </w:tr>
      <w:tr w:rsidR="002115A5" w:rsidRPr="00B46EEB" w14:paraId="512B32F3" w14:textId="77777777" w:rsidTr="003D6099">
        <w:trPr>
          <w:trHeight w:val="519"/>
        </w:trPr>
        <w:tc>
          <w:tcPr>
            <w:tcW w:w="710" w:type="dxa"/>
            <w:vAlign w:val="center"/>
          </w:tcPr>
          <w:p w14:paraId="75222576" w14:textId="077373B7" w:rsidR="002115A5" w:rsidRPr="005F6F90" w:rsidRDefault="002115A5" w:rsidP="002115A5">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4</w:t>
            </w:r>
          </w:p>
        </w:tc>
        <w:tc>
          <w:tcPr>
            <w:tcW w:w="4677" w:type="dxa"/>
            <w:vAlign w:val="center"/>
          </w:tcPr>
          <w:p w14:paraId="7DFB9556" w14:textId="77777777" w:rsidR="002115A5" w:rsidRDefault="003D6099" w:rsidP="002115A5">
            <w:pPr>
              <w:spacing w:after="0" w:line="240" w:lineRule="auto"/>
              <w:outlineLvl w:val="0"/>
              <w:rPr>
                <w:rFonts w:ascii="Times New Roman" w:eastAsia="Times New Roman" w:hAnsi="Times New Roman" w:cs="Times New Roman"/>
                <w:b/>
                <w:lang w:val="lt-LT"/>
              </w:rPr>
            </w:pPr>
            <w:r w:rsidRPr="003D6099">
              <w:rPr>
                <w:rFonts w:ascii="Times New Roman" w:eastAsia="Times New Roman" w:hAnsi="Times New Roman" w:cs="Times New Roman"/>
                <w:b/>
                <w:lang w:val="lt-LT"/>
              </w:rPr>
              <w:t>Originali dažų kasetė.</w:t>
            </w:r>
          </w:p>
          <w:p w14:paraId="3A040B9D" w14:textId="023ECF52" w:rsidR="003D6099" w:rsidRPr="003D6099" w:rsidRDefault="003D6099" w:rsidP="002115A5">
            <w:pPr>
              <w:spacing w:after="0" w:line="240" w:lineRule="auto"/>
              <w:outlineLvl w:val="0"/>
              <w:rPr>
                <w:rFonts w:ascii="Times New Roman" w:eastAsia="Times New Roman" w:hAnsi="Times New Roman" w:cs="Times New Roman"/>
                <w:lang w:val="lt-LT"/>
              </w:rPr>
            </w:pPr>
            <w:r w:rsidRPr="003D6099">
              <w:rPr>
                <w:rFonts w:ascii="Times New Roman" w:eastAsia="Times New Roman" w:hAnsi="Times New Roman" w:cs="Times New Roman"/>
                <w:lang w:val="lt-LT"/>
              </w:rPr>
              <w:t xml:space="preserve">Spausdintuvo Epson </w:t>
            </w:r>
            <w:proofErr w:type="spellStart"/>
            <w:r w:rsidRPr="003D6099">
              <w:rPr>
                <w:rFonts w:ascii="Times New Roman" w:eastAsia="Times New Roman" w:hAnsi="Times New Roman" w:cs="Times New Roman"/>
                <w:lang w:val="lt-LT"/>
              </w:rPr>
              <w:t>SureColor</w:t>
            </w:r>
            <w:proofErr w:type="spellEnd"/>
            <w:r w:rsidRPr="003D6099">
              <w:rPr>
                <w:rFonts w:ascii="Times New Roman" w:eastAsia="Times New Roman" w:hAnsi="Times New Roman" w:cs="Times New Roman"/>
                <w:lang w:val="lt-LT"/>
              </w:rPr>
              <w:t xml:space="preserve"> SC-T5100N, OEM dažų kasetė </w:t>
            </w:r>
            <w:proofErr w:type="spellStart"/>
            <w:r w:rsidRPr="003D6099">
              <w:rPr>
                <w:rFonts w:ascii="Times New Roman" w:eastAsia="Times New Roman" w:hAnsi="Times New Roman" w:cs="Times New Roman"/>
                <w:lang w:val="lt-LT"/>
              </w:rPr>
              <w:t>Singlepack</w:t>
            </w:r>
            <w:proofErr w:type="spellEnd"/>
            <w:r w:rsidRPr="003D6099">
              <w:rPr>
                <w:rFonts w:ascii="Times New Roman" w:eastAsia="Times New Roman" w:hAnsi="Times New Roman" w:cs="Times New Roman"/>
                <w:lang w:val="lt-LT"/>
              </w:rPr>
              <w:t xml:space="preserve"> </w:t>
            </w:r>
            <w:proofErr w:type="spellStart"/>
            <w:r w:rsidRPr="003D6099">
              <w:rPr>
                <w:rFonts w:ascii="Times New Roman" w:eastAsia="Times New Roman" w:hAnsi="Times New Roman" w:cs="Times New Roman"/>
                <w:lang w:val="lt-LT"/>
              </w:rPr>
              <w:t>UltraChrome</w:t>
            </w:r>
            <w:proofErr w:type="spellEnd"/>
            <w:r w:rsidRPr="003D6099">
              <w:rPr>
                <w:rFonts w:ascii="Times New Roman" w:eastAsia="Times New Roman" w:hAnsi="Times New Roman" w:cs="Times New Roman"/>
                <w:lang w:val="lt-LT"/>
              </w:rPr>
              <w:t xml:space="preserve"> XD2 </w:t>
            </w:r>
            <w:proofErr w:type="spellStart"/>
            <w:r w:rsidRPr="003D6099">
              <w:rPr>
                <w:rFonts w:ascii="Times New Roman" w:eastAsia="Times New Roman" w:hAnsi="Times New Roman" w:cs="Times New Roman"/>
                <w:lang w:val="lt-LT"/>
              </w:rPr>
              <w:t>Yellow</w:t>
            </w:r>
            <w:proofErr w:type="spellEnd"/>
            <w:r w:rsidRPr="003D6099">
              <w:rPr>
                <w:rFonts w:ascii="Times New Roman" w:eastAsia="Times New Roman" w:hAnsi="Times New Roman" w:cs="Times New Roman"/>
                <w:lang w:val="lt-LT"/>
              </w:rPr>
              <w:t xml:space="preserve"> T40D440 (50ml); indeksas C13T40D440; spalva </w:t>
            </w:r>
            <w:proofErr w:type="spellStart"/>
            <w:r w:rsidRPr="003D6099">
              <w:rPr>
                <w:rFonts w:ascii="Times New Roman" w:eastAsia="Times New Roman" w:hAnsi="Times New Roman" w:cs="Times New Roman"/>
                <w:lang w:val="lt-LT"/>
              </w:rPr>
              <w:t>Yellow</w:t>
            </w:r>
            <w:proofErr w:type="spellEnd"/>
            <w:r w:rsidRPr="003D6099">
              <w:rPr>
                <w:rFonts w:ascii="Times New Roman" w:eastAsia="Times New Roman" w:hAnsi="Times New Roman" w:cs="Times New Roman"/>
                <w:lang w:val="lt-LT"/>
              </w:rPr>
              <w:t>.</w:t>
            </w:r>
          </w:p>
        </w:tc>
        <w:tc>
          <w:tcPr>
            <w:tcW w:w="851" w:type="dxa"/>
            <w:vAlign w:val="center"/>
          </w:tcPr>
          <w:p w14:paraId="483E67AB" w14:textId="627A5A7D" w:rsidR="002115A5" w:rsidRDefault="002115A5" w:rsidP="002115A5">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sidRPr="009E177C">
              <w:rPr>
                <w:rFonts w:ascii="Times New Roman" w:eastAsia="Times New Roman" w:hAnsi="Times New Roman" w:cs="Times New Roman"/>
                <w:color w:val="000000"/>
                <w:szCs w:val="24"/>
                <w:lang w:val="en-GB"/>
              </w:rPr>
              <w:t>vnt</w:t>
            </w:r>
            <w:proofErr w:type="spellEnd"/>
            <w:proofErr w:type="gramEnd"/>
            <w:r w:rsidRPr="009E177C">
              <w:rPr>
                <w:rFonts w:ascii="Times New Roman" w:eastAsia="Times New Roman" w:hAnsi="Times New Roman" w:cs="Times New Roman"/>
                <w:color w:val="000000"/>
                <w:szCs w:val="24"/>
                <w:lang w:val="en-GB"/>
              </w:rPr>
              <w:t>.</w:t>
            </w:r>
          </w:p>
        </w:tc>
        <w:tc>
          <w:tcPr>
            <w:tcW w:w="850" w:type="dxa"/>
            <w:vAlign w:val="center"/>
          </w:tcPr>
          <w:p w14:paraId="1D1BD899" w14:textId="6108DDE5" w:rsidR="002115A5" w:rsidRDefault="003D6099" w:rsidP="002115A5">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3</w:t>
            </w:r>
          </w:p>
        </w:tc>
        <w:tc>
          <w:tcPr>
            <w:tcW w:w="1560" w:type="dxa"/>
            <w:vAlign w:val="center"/>
          </w:tcPr>
          <w:p w14:paraId="50513861" w14:textId="77777777" w:rsidR="002115A5" w:rsidRPr="00B46EEB" w:rsidRDefault="002115A5" w:rsidP="002115A5">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56ECB010" w14:textId="77777777" w:rsidR="002115A5" w:rsidRPr="000E375B" w:rsidRDefault="002115A5" w:rsidP="002115A5">
            <w:pPr>
              <w:spacing w:after="0" w:line="240" w:lineRule="auto"/>
              <w:jc w:val="center"/>
              <w:outlineLvl w:val="0"/>
              <w:rPr>
                <w:rFonts w:ascii="Times New Roman" w:eastAsia="Times New Roman" w:hAnsi="Times New Roman" w:cs="Times New Roman"/>
                <w:szCs w:val="24"/>
                <w:lang w:val="lt-LT"/>
              </w:rPr>
            </w:pPr>
            <w:bookmarkStart w:id="0" w:name="_GoBack"/>
            <w:bookmarkEnd w:id="0"/>
          </w:p>
        </w:tc>
      </w:tr>
      <w:tr w:rsidR="00124B64" w:rsidRPr="00B46EEB" w14:paraId="3782F5C7" w14:textId="77777777" w:rsidTr="0046397F">
        <w:trPr>
          <w:trHeight w:val="264"/>
        </w:trPr>
        <w:tc>
          <w:tcPr>
            <w:tcW w:w="8648" w:type="dxa"/>
            <w:gridSpan w:val="5"/>
            <w:vAlign w:val="center"/>
          </w:tcPr>
          <w:p w14:paraId="3EEFD9F4" w14:textId="126FF163" w:rsidR="00124B64" w:rsidRPr="00B46EEB" w:rsidRDefault="00124B64" w:rsidP="00124B64">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124B64" w:rsidRPr="00B46EEB" w:rsidRDefault="00124B64" w:rsidP="00780E19">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65CF6B4E" w:rsidR="00624AEE" w:rsidRPr="00624AEE" w:rsidRDefault="00E134FF"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Bataliono vadas</w:t>
      </w:r>
    </w:p>
    <w:p w14:paraId="5F9CDB86" w14:textId="7D6BCD84" w:rsidR="00A00819" w:rsidRDefault="00A2358C" w:rsidP="00A00819">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 xml:space="preserve">plk. ltn. </w:t>
      </w:r>
      <w:r w:rsidR="00D7546F">
        <w:rPr>
          <w:rFonts w:ascii="Times New Roman" w:hAnsi="Times New Roman" w:cs="Times New Roman"/>
          <w:sz w:val="24"/>
          <w:lang w:val="lt-LT"/>
        </w:rPr>
        <w:t>Donatas Zakarka</w:t>
      </w:r>
    </w:p>
    <w:p w14:paraId="4FF9DF12" w14:textId="77777777" w:rsidR="00D7546F" w:rsidRDefault="00D7546F" w:rsidP="00A00819">
      <w:pPr>
        <w:spacing w:after="0" w:line="240" w:lineRule="auto"/>
        <w:rPr>
          <w:rFonts w:ascii="Times New Roman" w:hAnsi="Times New Roman" w:cs="Times New Roman"/>
          <w:sz w:val="24"/>
          <w:lang w:val="lt-LT"/>
        </w:rPr>
      </w:pPr>
    </w:p>
    <w:p w14:paraId="3AAA54A2" w14:textId="77777777" w:rsidR="00D7546F" w:rsidRDefault="00D7546F" w:rsidP="00A00819">
      <w:pPr>
        <w:spacing w:after="0" w:line="240" w:lineRule="auto"/>
        <w:rPr>
          <w:rFonts w:ascii="Times New Roman" w:hAnsi="Times New Roman" w:cs="Times New Roman"/>
          <w:sz w:val="24"/>
          <w:lang w:val="lt-LT"/>
        </w:rPr>
      </w:pPr>
    </w:p>
    <w:p w14:paraId="40F0A050" w14:textId="77777777" w:rsidR="00D7546F" w:rsidRDefault="00D7546F" w:rsidP="00A00819">
      <w:pPr>
        <w:spacing w:after="0" w:line="240" w:lineRule="auto"/>
        <w:rPr>
          <w:rFonts w:ascii="Times New Roman" w:hAnsi="Times New Roman" w:cs="Times New Roman"/>
          <w:sz w:val="24"/>
          <w:lang w:val="lt-LT"/>
        </w:rPr>
      </w:pPr>
    </w:p>
    <w:p w14:paraId="74937F28" w14:textId="6B1276FF" w:rsidR="00624AEE" w:rsidRPr="00624AEE" w:rsidRDefault="00D7546F" w:rsidP="00D7546F">
      <w:pPr>
        <w:spacing w:after="0" w:line="240" w:lineRule="auto"/>
        <w:rPr>
          <w:rFonts w:ascii="Times New Roman" w:hAnsi="Times New Roman" w:cs="Times New Roman"/>
          <w:sz w:val="24"/>
          <w:lang w:val="lt-LT"/>
        </w:rPr>
      </w:pPr>
      <w:r w:rsidRPr="00D7546F">
        <w:rPr>
          <w:rFonts w:ascii="Times New Roman" w:hAnsi="Times New Roman" w:cs="Times New Roman"/>
          <w:sz w:val="24"/>
          <w:lang w:val="lt-LT"/>
        </w:rPr>
        <w:t xml:space="preserve">__________________                                                            </w:t>
      </w:r>
      <w:r>
        <w:rPr>
          <w:rFonts w:ascii="Times New Roman" w:hAnsi="Times New Roman" w:cs="Times New Roman"/>
          <w:sz w:val="24"/>
          <w:lang w:val="lt-LT"/>
        </w:rPr>
        <w:t xml:space="preserve">                              </w:t>
      </w:r>
      <w:r w:rsidRPr="00D7546F">
        <w:rPr>
          <w:rFonts w:ascii="Times New Roman" w:hAnsi="Times New Roman" w:cs="Times New Roman"/>
          <w:sz w:val="24"/>
          <w:lang w:val="lt-LT"/>
        </w:rPr>
        <w:t xml:space="preserve">    ______________</w:t>
      </w: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983B8" w14:textId="77777777" w:rsidR="00354536" w:rsidRDefault="00354536" w:rsidP="00C7623E">
      <w:pPr>
        <w:spacing w:after="0" w:line="240" w:lineRule="auto"/>
      </w:pPr>
      <w:r>
        <w:separator/>
      </w:r>
    </w:p>
  </w:endnote>
  <w:endnote w:type="continuationSeparator" w:id="0">
    <w:p w14:paraId="7AA1CE45" w14:textId="77777777" w:rsidR="00354536" w:rsidRDefault="00354536"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3538B" w14:textId="77777777" w:rsidR="00354536" w:rsidRDefault="00354536" w:rsidP="00C7623E">
      <w:pPr>
        <w:spacing w:after="0" w:line="240" w:lineRule="auto"/>
      </w:pPr>
      <w:r>
        <w:separator/>
      </w:r>
    </w:p>
  </w:footnote>
  <w:footnote w:type="continuationSeparator" w:id="0">
    <w:p w14:paraId="1F440EBB" w14:textId="77777777" w:rsidR="00354536" w:rsidRDefault="00354536"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29096D01" w:rsidR="00C7623E" w:rsidRDefault="00C7623E">
        <w:pPr>
          <w:pStyle w:val="Header"/>
          <w:jc w:val="center"/>
        </w:pPr>
        <w:r>
          <w:fldChar w:fldCharType="begin"/>
        </w:r>
        <w:r>
          <w:instrText xml:space="preserve"> PAGE   \* MERGEFORMAT </w:instrText>
        </w:r>
        <w:r>
          <w:fldChar w:fldCharType="separate"/>
        </w:r>
        <w:r w:rsidR="009F33DD">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7FEF"/>
    <w:rsid w:val="0004211F"/>
    <w:rsid w:val="000605DD"/>
    <w:rsid w:val="00061075"/>
    <w:rsid w:val="00061336"/>
    <w:rsid w:val="00063EE3"/>
    <w:rsid w:val="00076D6F"/>
    <w:rsid w:val="00084FC2"/>
    <w:rsid w:val="000929DF"/>
    <w:rsid w:val="000B1E57"/>
    <w:rsid w:val="000D1C8C"/>
    <w:rsid w:val="000E375B"/>
    <w:rsid w:val="000E5818"/>
    <w:rsid w:val="000E6452"/>
    <w:rsid w:val="000F467F"/>
    <w:rsid w:val="00124B64"/>
    <w:rsid w:val="00130041"/>
    <w:rsid w:val="00130B00"/>
    <w:rsid w:val="0014213D"/>
    <w:rsid w:val="0017614A"/>
    <w:rsid w:val="001814A7"/>
    <w:rsid w:val="001829E6"/>
    <w:rsid w:val="00190529"/>
    <w:rsid w:val="001A1258"/>
    <w:rsid w:val="001C0995"/>
    <w:rsid w:val="001C2DE4"/>
    <w:rsid w:val="001D004F"/>
    <w:rsid w:val="001D31BA"/>
    <w:rsid w:val="00201752"/>
    <w:rsid w:val="002115A5"/>
    <w:rsid w:val="00212571"/>
    <w:rsid w:val="002347EE"/>
    <w:rsid w:val="00242C2A"/>
    <w:rsid w:val="00297F81"/>
    <w:rsid w:val="002A13B2"/>
    <w:rsid w:val="002B3E68"/>
    <w:rsid w:val="002E6760"/>
    <w:rsid w:val="002F1724"/>
    <w:rsid w:val="002F6779"/>
    <w:rsid w:val="00326DF0"/>
    <w:rsid w:val="00330FAB"/>
    <w:rsid w:val="00341BC7"/>
    <w:rsid w:val="003467EC"/>
    <w:rsid w:val="00350830"/>
    <w:rsid w:val="003541D9"/>
    <w:rsid w:val="00354536"/>
    <w:rsid w:val="00363B49"/>
    <w:rsid w:val="003960D0"/>
    <w:rsid w:val="003976A1"/>
    <w:rsid w:val="003B3A40"/>
    <w:rsid w:val="003B5E0B"/>
    <w:rsid w:val="003B7D1D"/>
    <w:rsid w:val="003D391E"/>
    <w:rsid w:val="003D6099"/>
    <w:rsid w:val="003E55C9"/>
    <w:rsid w:val="003E5D61"/>
    <w:rsid w:val="003F11A0"/>
    <w:rsid w:val="003F59D4"/>
    <w:rsid w:val="003F6E32"/>
    <w:rsid w:val="00416669"/>
    <w:rsid w:val="00431E20"/>
    <w:rsid w:val="0046397F"/>
    <w:rsid w:val="00467292"/>
    <w:rsid w:val="00486A33"/>
    <w:rsid w:val="00496C7E"/>
    <w:rsid w:val="004A325E"/>
    <w:rsid w:val="004B1435"/>
    <w:rsid w:val="004B3F76"/>
    <w:rsid w:val="004C0A50"/>
    <w:rsid w:val="004C69D5"/>
    <w:rsid w:val="004C6CF5"/>
    <w:rsid w:val="004D4517"/>
    <w:rsid w:val="004D654A"/>
    <w:rsid w:val="005075B1"/>
    <w:rsid w:val="00511D2A"/>
    <w:rsid w:val="005177D2"/>
    <w:rsid w:val="00530F16"/>
    <w:rsid w:val="00556EA9"/>
    <w:rsid w:val="00557A7D"/>
    <w:rsid w:val="00564A07"/>
    <w:rsid w:val="00567805"/>
    <w:rsid w:val="0057170D"/>
    <w:rsid w:val="00574CAB"/>
    <w:rsid w:val="005954C0"/>
    <w:rsid w:val="0059561B"/>
    <w:rsid w:val="005B45B6"/>
    <w:rsid w:val="005B4B3B"/>
    <w:rsid w:val="005C0C59"/>
    <w:rsid w:val="005C3E7C"/>
    <w:rsid w:val="005D300A"/>
    <w:rsid w:val="005F632C"/>
    <w:rsid w:val="00622DEA"/>
    <w:rsid w:val="00624AEE"/>
    <w:rsid w:val="00626C69"/>
    <w:rsid w:val="00641546"/>
    <w:rsid w:val="00646B25"/>
    <w:rsid w:val="00652E55"/>
    <w:rsid w:val="0065786A"/>
    <w:rsid w:val="00680702"/>
    <w:rsid w:val="00682CAD"/>
    <w:rsid w:val="006A09FD"/>
    <w:rsid w:val="006C16B4"/>
    <w:rsid w:val="006D5729"/>
    <w:rsid w:val="006E1934"/>
    <w:rsid w:val="006F13BA"/>
    <w:rsid w:val="00730A90"/>
    <w:rsid w:val="007332E5"/>
    <w:rsid w:val="00746B7C"/>
    <w:rsid w:val="007836AE"/>
    <w:rsid w:val="007861AB"/>
    <w:rsid w:val="00787B14"/>
    <w:rsid w:val="00790C7A"/>
    <w:rsid w:val="00793813"/>
    <w:rsid w:val="00795E56"/>
    <w:rsid w:val="007B0AC8"/>
    <w:rsid w:val="007B0E45"/>
    <w:rsid w:val="007B276C"/>
    <w:rsid w:val="007B75AE"/>
    <w:rsid w:val="007C77AC"/>
    <w:rsid w:val="007D0A1A"/>
    <w:rsid w:val="007D2F72"/>
    <w:rsid w:val="007D6BBD"/>
    <w:rsid w:val="007E4B76"/>
    <w:rsid w:val="0081048A"/>
    <w:rsid w:val="008105A2"/>
    <w:rsid w:val="008531DA"/>
    <w:rsid w:val="00854E53"/>
    <w:rsid w:val="00856D9C"/>
    <w:rsid w:val="00864A61"/>
    <w:rsid w:val="008704DA"/>
    <w:rsid w:val="008806B5"/>
    <w:rsid w:val="008C52B8"/>
    <w:rsid w:val="008E1417"/>
    <w:rsid w:val="008E78B0"/>
    <w:rsid w:val="008F6051"/>
    <w:rsid w:val="00915E4F"/>
    <w:rsid w:val="009228E9"/>
    <w:rsid w:val="00925B94"/>
    <w:rsid w:val="00933DF2"/>
    <w:rsid w:val="0094660F"/>
    <w:rsid w:val="0095086A"/>
    <w:rsid w:val="009510D2"/>
    <w:rsid w:val="00951CEA"/>
    <w:rsid w:val="00952D14"/>
    <w:rsid w:val="00956D92"/>
    <w:rsid w:val="009618AB"/>
    <w:rsid w:val="00982E96"/>
    <w:rsid w:val="00983CD9"/>
    <w:rsid w:val="00995612"/>
    <w:rsid w:val="009B7FFB"/>
    <w:rsid w:val="009F33DD"/>
    <w:rsid w:val="00A00819"/>
    <w:rsid w:val="00A00AE0"/>
    <w:rsid w:val="00A06EE4"/>
    <w:rsid w:val="00A2358C"/>
    <w:rsid w:val="00A25520"/>
    <w:rsid w:val="00A306CD"/>
    <w:rsid w:val="00A60671"/>
    <w:rsid w:val="00A66D7F"/>
    <w:rsid w:val="00A82C8E"/>
    <w:rsid w:val="00AA0A86"/>
    <w:rsid w:val="00AB144E"/>
    <w:rsid w:val="00AB3681"/>
    <w:rsid w:val="00AD42CA"/>
    <w:rsid w:val="00AE628B"/>
    <w:rsid w:val="00AF206A"/>
    <w:rsid w:val="00AF3CC7"/>
    <w:rsid w:val="00B00462"/>
    <w:rsid w:val="00B164F1"/>
    <w:rsid w:val="00B40257"/>
    <w:rsid w:val="00B51B8D"/>
    <w:rsid w:val="00B57E08"/>
    <w:rsid w:val="00B80294"/>
    <w:rsid w:val="00B83EA9"/>
    <w:rsid w:val="00BC5E3F"/>
    <w:rsid w:val="00BD055F"/>
    <w:rsid w:val="00BD3BBB"/>
    <w:rsid w:val="00BD64EA"/>
    <w:rsid w:val="00BD6842"/>
    <w:rsid w:val="00BF6FC9"/>
    <w:rsid w:val="00C01ABC"/>
    <w:rsid w:val="00C0682F"/>
    <w:rsid w:val="00C167F7"/>
    <w:rsid w:val="00C37D89"/>
    <w:rsid w:val="00C556A2"/>
    <w:rsid w:val="00C7623E"/>
    <w:rsid w:val="00C90BEB"/>
    <w:rsid w:val="00CA4455"/>
    <w:rsid w:val="00CA6639"/>
    <w:rsid w:val="00CB5051"/>
    <w:rsid w:val="00CD776B"/>
    <w:rsid w:val="00D04A2C"/>
    <w:rsid w:val="00D25043"/>
    <w:rsid w:val="00D44E4D"/>
    <w:rsid w:val="00D7546F"/>
    <w:rsid w:val="00DB4C74"/>
    <w:rsid w:val="00DD7962"/>
    <w:rsid w:val="00DE1B43"/>
    <w:rsid w:val="00E042C0"/>
    <w:rsid w:val="00E134FF"/>
    <w:rsid w:val="00E221E9"/>
    <w:rsid w:val="00E3363B"/>
    <w:rsid w:val="00E54645"/>
    <w:rsid w:val="00E5465F"/>
    <w:rsid w:val="00E67F48"/>
    <w:rsid w:val="00E75163"/>
    <w:rsid w:val="00E778D2"/>
    <w:rsid w:val="00E80A2C"/>
    <w:rsid w:val="00E810C4"/>
    <w:rsid w:val="00E870F4"/>
    <w:rsid w:val="00EC2CD5"/>
    <w:rsid w:val="00EC34BC"/>
    <w:rsid w:val="00ED464E"/>
    <w:rsid w:val="00ED7458"/>
    <w:rsid w:val="00EF4D8E"/>
    <w:rsid w:val="00F50748"/>
    <w:rsid w:val="00F51383"/>
    <w:rsid w:val="00F51D7F"/>
    <w:rsid w:val="00F55EE7"/>
    <w:rsid w:val="00F57C63"/>
    <w:rsid w:val="00F666D4"/>
    <w:rsid w:val="00F86BCD"/>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ondas.pranckeviciu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C99E8-97FB-407E-8ADD-81C028B2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Pages>
  <Words>7484</Words>
  <Characters>4266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100</cp:revision>
  <dcterms:created xsi:type="dcterms:W3CDTF">2022-07-14T05:54:00Z</dcterms:created>
  <dcterms:modified xsi:type="dcterms:W3CDTF">2025-10-20T07:52:00Z</dcterms:modified>
</cp:coreProperties>
</file>