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E34B0" w14:textId="77777777" w:rsidR="00E134B7" w:rsidRPr="005A084C" w:rsidRDefault="00E134B7" w:rsidP="00E134B7">
      <w:pPr>
        <w:spacing w:after="0" w:line="240" w:lineRule="auto"/>
        <w:jc w:val="both"/>
        <w:rPr>
          <w:rFonts w:ascii="Times New Roman" w:hAnsi="Times New Roman" w:cs="Times New Roman"/>
        </w:rPr>
      </w:pPr>
    </w:p>
    <w:p w14:paraId="29DA4932" w14:textId="77777777" w:rsidR="00E134B7" w:rsidRPr="005A084C" w:rsidRDefault="00E134B7" w:rsidP="00E134B7">
      <w:pPr>
        <w:spacing w:after="0" w:line="240" w:lineRule="auto"/>
        <w:jc w:val="right"/>
        <w:rPr>
          <w:rFonts w:ascii="Times New Roman" w:hAnsi="Times New Roman" w:cs="Times New Roman"/>
        </w:rPr>
      </w:pPr>
    </w:p>
    <w:p w14:paraId="6CDE39AD" w14:textId="77777777" w:rsidR="00E134B7" w:rsidRPr="005A084C" w:rsidRDefault="00E134B7" w:rsidP="00E134B7">
      <w:pPr>
        <w:spacing w:after="0" w:line="240" w:lineRule="auto"/>
        <w:jc w:val="both"/>
        <w:rPr>
          <w:rFonts w:ascii="Times New Roman" w:hAnsi="Times New Roman" w:cs="Times New Roman"/>
        </w:rPr>
      </w:pPr>
    </w:p>
    <w:p w14:paraId="5AED37E5" w14:textId="77777777" w:rsidR="00AD3DBE" w:rsidRPr="005A084C" w:rsidRDefault="00AD3DBE" w:rsidP="00AD3DBE">
      <w:pPr>
        <w:shd w:val="clear" w:color="auto" w:fill="FFFFFF"/>
        <w:ind w:left="709"/>
        <w:jc w:val="center"/>
        <w:rPr>
          <w:rFonts w:ascii="Times New Roman" w:eastAsia="Times New Roman" w:hAnsi="Times New Roman" w:cs="Times New Roman"/>
          <w:b/>
          <w:bCs/>
          <w:color w:val="000000"/>
        </w:rPr>
      </w:pPr>
      <w:r w:rsidRPr="005A084C">
        <w:rPr>
          <w:rFonts w:ascii="Times New Roman" w:eastAsia="Times New Roman" w:hAnsi="Times New Roman" w:cs="Times New Roman"/>
          <w:b/>
          <w:bCs/>
        </w:rPr>
        <w:t>EKONOMIŠKAI NAUDINGIAUSIO (KAINOS IR KOKYBĖS SANTYKIO)</w:t>
      </w:r>
    </w:p>
    <w:p w14:paraId="59863670" w14:textId="77777777" w:rsidR="00AD3DBE" w:rsidRPr="005A084C" w:rsidRDefault="00AD3DBE" w:rsidP="00AD3DBE">
      <w:pPr>
        <w:shd w:val="clear" w:color="auto" w:fill="FFFFFF"/>
        <w:ind w:left="709"/>
        <w:jc w:val="center"/>
        <w:rPr>
          <w:rFonts w:ascii="Times New Roman" w:eastAsia="Times New Roman" w:hAnsi="Times New Roman" w:cs="Times New Roman"/>
          <w:b/>
          <w:bCs/>
          <w:color w:val="000000"/>
        </w:rPr>
      </w:pPr>
      <w:r w:rsidRPr="005A084C">
        <w:rPr>
          <w:rFonts w:ascii="Times New Roman" w:eastAsia="Times New Roman" w:hAnsi="Times New Roman" w:cs="Times New Roman"/>
          <w:b/>
          <w:bCs/>
          <w:color w:val="000000"/>
        </w:rPr>
        <w:t>PASIŪLYMO VERTINIMO KRITERIJAI IR TVARKA</w:t>
      </w:r>
    </w:p>
    <w:p w14:paraId="03BC4810" w14:textId="77777777" w:rsidR="00FB087E" w:rsidRPr="005A084C" w:rsidRDefault="00FB087E" w:rsidP="00FB087E">
      <w:pPr>
        <w:spacing w:after="0" w:line="240" w:lineRule="auto"/>
        <w:contextualSpacing/>
        <w:jc w:val="both"/>
        <w:rPr>
          <w:rFonts w:ascii="Times New Roman" w:hAnsi="Times New Roman" w:cs="Times New Roman"/>
        </w:rPr>
      </w:pPr>
    </w:p>
    <w:p w14:paraId="5398980D" w14:textId="77777777" w:rsidR="00DD019C" w:rsidRPr="005A084C" w:rsidRDefault="00DD019C" w:rsidP="00DD019C">
      <w:pPr>
        <w:spacing w:after="31" w:line="250" w:lineRule="auto"/>
        <w:jc w:val="both"/>
        <w:rPr>
          <w:rFonts w:ascii="Times New Roman" w:eastAsia="Times New Roman" w:hAnsi="Times New Roman" w:cs="Times New Roman"/>
          <w:color w:val="000000"/>
        </w:rPr>
      </w:pPr>
      <w:r w:rsidRPr="005A084C">
        <w:rPr>
          <w:rFonts w:ascii="Times New Roman" w:eastAsia="Times New Roman" w:hAnsi="Times New Roman" w:cs="Times New Roman"/>
          <w:color w:val="000000"/>
        </w:rPr>
        <w:t>Ekonomiškai naudingiausio pasiūlymo vertinimo kriterijai ir parametrai:</w:t>
      </w:r>
    </w:p>
    <w:p w14:paraId="0D4AB50B" w14:textId="1CF63965" w:rsidR="00DD019C" w:rsidRPr="005A084C" w:rsidRDefault="00DD019C" w:rsidP="00DD019C">
      <w:pPr>
        <w:spacing w:after="31" w:line="250" w:lineRule="auto"/>
        <w:jc w:val="both"/>
        <w:rPr>
          <w:rFonts w:ascii="Times New Roman" w:eastAsia="Times New Roman" w:hAnsi="Times New Roman" w:cs="Times New Roman"/>
          <w:color w:val="000000"/>
        </w:rPr>
      </w:pPr>
      <w:r w:rsidRPr="005A084C">
        <w:rPr>
          <w:rFonts w:ascii="Times New Roman" w:eastAsia="Times New Roman" w:hAnsi="Times New Roman" w:cs="Times New Roman"/>
          <w:color w:val="000000"/>
        </w:rPr>
        <w:t xml:space="preserve">1.1.1. </w:t>
      </w:r>
      <w:r w:rsidRPr="005A084C">
        <w:rPr>
          <w:rFonts w:ascii="Times New Roman" w:eastAsia="Times New Roman" w:hAnsi="Times New Roman" w:cs="Times New Roman"/>
          <w:b/>
          <w:color w:val="000000"/>
        </w:rPr>
        <w:t>Kaina (C).</w:t>
      </w:r>
      <w:r w:rsidRPr="005A084C">
        <w:rPr>
          <w:rFonts w:ascii="Times New Roman" w:eastAsia="Times New Roman" w:hAnsi="Times New Roman" w:cs="Times New Roman"/>
          <w:color w:val="000000"/>
        </w:rPr>
        <w:t xml:space="preserve"> Vertinama bendra pasiūlymo kaina eurais, įskaitant visus mokesčius ir kitas susijusias išlaidas.</w:t>
      </w:r>
      <w:r w:rsidR="00453335" w:rsidRPr="005A084C">
        <w:rPr>
          <w:rFonts w:ascii="Times New Roman" w:eastAsia="Times New Roman" w:hAnsi="Times New Roman" w:cs="Times New Roman"/>
          <w:color w:val="000000"/>
        </w:rPr>
        <w:t>x`</w:t>
      </w:r>
    </w:p>
    <w:p w14:paraId="52DF279F" w14:textId="50EE2B88" w:rsidR="00DD019C" w:rsidRPr="005A084C" w:rsidRDefault="00DD019C" w:rsidP="00DD019C">
      <w:pPr>
        <w:spacing w:after="31" w:line="250" w:lineRule="auto"/>
        <w:jc w:val="both"/>
        <w:rPr>
          <w:rFonts w:ascii="Times New Roman" w:eastAsia="Times New Roman" w:hAnsi="Times New Roman" w:cs="Times New Roman"/>
          <w:lang w:eastAsia="lt-LT"/>
        </w:rPr>
      </w:pPr>
      <w:r w:rsidRPr="005A084C">
        <w:rPr>
          <w:rFonts w:ascii="Times New Roman" w:eastAsia="Times New Roman" w:hAnsi="Times New Roman" w:cs="Times New Roman"/>
          <w:lang w:eastAsia="lt-LT"/>
        </w:rPr>
        <w:t xml:space="preserve">1.1.2. </w:t>
      </w:r>
      <w:r w:rsidRPr="005A084C">
        <w:rPr>
          <w:rFonts w:ascii="Times New Roman" w:eastAsia="Times New Roman" w:hAnsi="Times New Roman" w:cs="Times New Roman"/>
          <w:b/>
          <w:lang w:eastAsia="lt-LT"/>
        </w:rPr>
        <w:t>Kokybė (T)</w:t>
      </w:r>
      <w:r w:rsidRPr="005A084C">
        <w:rPr>
          <w:rFonts w:ascii="Times New Roman" w:eastAsia="Times New Roman" w:hAnsi="Times New Roman" w:cs="Times New Roman"/>
          <w:lang w:eastAsia="lt-LT"/>
        </w:rPr>
        <w:t>. Tiekėjas turi pateikti Paslaugų koncepcijos aprašymą.</w:t>
      </w:r>
    </w:p>
    <w:p w14:paraId="155828C6" w14:textId="77777777" w:rsidR="004B0FA4" w:rsidRPr="005A084C" w:rsidRDefault="004B0FA4" w:rsidP="005C287F">
      <w:pPr>
        <w:spacing w:after="31" w:line="250" w:lineRule="auto"/>
        <w:jc w:val="both"/>
        <w:rPr>
          <w:rFonts w:ascii="Times New Roman" w:eastAsia="Times New Roman" w:hAnsi="Times New Roman" w:cs="Times New Roman"/>
          <w:lang w:eastAsia="lt-LT"/>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4252"/>
        <w:gridCol w:w="2520"/>
        <w:gridCol w:w="2160"/>
      </w:tblGrid>
      <w:tr w:rsidR="00952B60" w:rsidRPr="005A084C" w14:paraId="0E8D31C1" w14:textId="22B63FE8" w:rsidTr="008774E6">
        <w:tc>
          <w:tcPr>
            <w:tcW w:w="5035" w:type="dxa"/>
            <w:gridSpan w:val="2"/>
            <w:vAlign w:val="center"/>
          </w:tcPr>
          <w:p w14:paraId="735492B5" w14:textId="10437534" w:rsidR="00952B60" w:rsidRPr="005A084C" w:rsidRDefault="00952B60" w:rsidP="00F11B24">
            <w:pPr>
              <w:spacing w:after="31" w:line="250" w:lineRule="auto"/>
              <w:ind w:firstLine="426"/>
              <w:jc w:val="center"/>
              <w:rPr>
                <w:rFonts w:ascii="Times New Roman" w:eastAsia="Times New Roman" w:hAnsi="Times New Roman" w:cs="Times New Roman"/>
                <w:b/>
                <w:lang w:eastAsia="lt-LT"/>
              </w:rPr>
            </w:pPr>
            <w:r w:rsidRPr="005A084C">
              <w:rPr>
                <w:rFonts w:ascii="Times New Roman" w:eastAsia="Times New Roman" w:hAnsi="Times New Roman" w:cs="Times New Roman"/>
                <w:b/>
                <w:lang w:eastAsia="lt-LT"/>
              </w:rPr>
              <w:t>Vertinimo kriterijai</w:t>
            </w:r>
          </w:p>
        </w:tc>
        <w:tc>
          <w:tcPr>
            <w:tcW w:w="2520" w:type="dxa"/>
            <w:vAlign w:val="center"/>
          </w:tcPr>
          <w:p w14:paraId="58AEEE43" w14:textId="415AE092" w:rsidR="00952B60" w:rsidRPr="005A084C" w:rsidRDefault="00952B60" w:rsidP="00F11B24">
            <w:pPr>
              <w:spacing w:after="31" w:line="250" w:lineRule="auto"/>
              <w:jc w:val="center"/>
              <w:rPr>
                <w:rFonts w:ascii="Times New Roman" w:eastAsia="Times New Roman" w:hAnsi="Times New Roman" w:cs="Times New Roman"/>
                <w:b/>
                <w:lang w:eastAsia="lt-LT"/>
              </w:rPr>
            </w:pPr>
            <w:r w:rsidRPr="005A084C">
              <w:rPr>
                <w:rFonts w:ascii="Times New Roman" w:eastAsia="Times New Roman" w:hAnsi="Times New Roman" w:cs="Times New Roman"/>
                <w:b/>
                <w:lang w:eastAsia="lt-LT"/>
              </w:rPr>
              <w:t>Vertinimo kriterijaus sąlyga (B</w:t>
            </w:r>
            <w:r w:rsidRPr="005A084C">
              <w:rPr>
                <w:rFonts w:ascii="Times New Roman" w:eastAsia="Times New Roman" w:hAnsi="Times New Roman" w:cs="Times New Roman"/>
                <w:b/>
                <w:vertAlign w:val="subscript"/>
                <w:lang w:eastAsia="lt-LT"/>
              </w:rPr>
              <w:t>i</w:t>
            </w:r>
            <w:r w:rsidRPr="005A084C">
              <w:rPr>
                <w:rFonts w:ascii="Times New Roman" w:eastAsia="Times New Roman" w:hAnsi="Times New Roman" w:cs="Times New Roman"/>
                <w:b/>
                <w:lang w:eastAsia="lt-LT"/>
              </w:rPr>
              <w:t>)</w:t>
            </w:r>
          </w:p>
        </w:tc>
        <w:tc>
          <w:tcPr>
            <w:tcW w:w="2160" w:type="dxa"/>
            <w:vAlign w:val="center"/>
          </w:tcPr>
          <w:p w14:paraId="44BE6B17" w14:textId="3835437D" w:rsidR="00952B60" w:rsidRPr="005A084C" w:rsidRDefault="00952B60" w:rsidP="00F11B24">
            <w:pPr>
              <w:spacing w:after="31" w:line="250" w:lineRule="auto"/>
              <w:jc w:val="center"/>
              <w:rPr>
                <w:rFonts w:ascii="Times New Roman" w:eastAsia="Times New Roman" w:hAnsi="Times New Roman" w:cs="Times New Roman"/>
                <w:b/>
                <w:lang w:eastAsia="lt-LT"/>
              </w:rPr>
            </w:pPr>
            <w:r w:rsidRPr="005A084C">
              <w:rPr>
                <w:rFonts w:ascii="Times New Roman" w:eastAsia="Times New Roman" w:hAnsi="Times New Roman" w:cs="Times New Roman"/>
                <w:b/>
                <w:lang w:eastAsia="lt-LT"/>
              </w:rPr>
              <w:t>Lyginamasis svoris ekonominio naudingumo įvertinime</w:t>
            </w:r>
          </w:p>
        </w:tc>
      </w:tr>
      <w:tr w:rsidR="00952B60" w:rsidRPr="005A084C" w14:paraId="017E52B3" w14:textId="77777777" w:rsidTr="002C4204">
        <w:trPr>
          <w:trHeight w:val="328"/>
        </w:trPr>
        <w:tc>
          <w:tcPr>
            <w:tcW w:w="5035" w:type="dxa"/>
            <w:gridSpan w:val="2"/>
            <w:vAlign w:val="center"/>
          </w:tcPr>
          <w:p w14:paraId="618CC68A" w14:textId="604F501D" w:rsidR="00952B60" w:rsidRPr="005A084C" w:rsidRDefault="00952B60" w:rsidP="00952B60">
            <w:pPr>
              <w:spacing w:after="0" w:line="240" w:lineRule="auto"/>
              <w:jc w:val="center"/>
              <w:rPr>
                <w:rFonts w:ascii="Times New Roman" w:hAnsi="Times New Roman" w:cs="Times New Roman"/>
                <w:b/>
                <w:iCs/>
              </w:rPr>
            </w:pPr>
            <w:r w:rsidRPr="005A084C">
              <w:rPr>
                <w:rFonts w:ascii="Times New Roman" w:hAnsi="Times New Roman" w:cs="Times New Roman"/>
                <w:b/>
                <w:iCs/>
              </w:rPr>
              <w:t xml:space="preserve">Pirmasis kriterijus – Kaina, (C)                                                                                                                     </w:t>
            </w:r>
          </w:p>
        </w:tc>
        <w:tc>
          <w:tcPr>
            <w:tcW w:w="2520" w:type="dxa"/>
            <w:vAlign w:val="center"/>
          </w:tcPr>
          <w:p w14:paraId="70A984E1" w14:textId="77777777" w:rsidR="00952B60" w:rsidRPr="005A084C" w:rsidRDefault="00952B60" w:rsidP="00F11B24">
            <w:pPr>
              <w:spacing w:after="31" w:line="250" w:lineRule="auto"/>
              <w:jc w:val="center"/>
              <w:rPr>
                <w:rFonts w:ascii="Times New Roman" w:eastAsia="Times New Roman" w:hAnsi="Times New Roman" w:cs="Times New Roman"/>
                <w:b/>
                <w:iCs/>
                <w:lang w:eastAsia="lt-LT"/>
              </w:rPr>
            </w:pPr>
          </w:p>
        </w:tc>
        <w:tc>
          <w:tcPr>
            <w:tcW w:w="2160" w:type="dxa"/>
            <w:vAlign w:val="center"/>
          </w:tcPr>
          <w:p w14:paraId="325BA965" w14:textId="062133C5" w:rsidR="00952B60" w:rsidRPr="005A084C" w:rsidRDefault="00952B60" w:rsidP="00F11B24">
            <w:pPr>
              <w:spacing w:after="31" w:line="250" w:lineRule="auto"/>
              <w:jc w:val="center"/>
              <w:rPr>
                <w:rFonts w:ascii="Times New Roman" w:eastAsia="Times New Roman" w:hAnsi="Times New Roman" w:cs="Times New Roman"/>
                <w:b/>
                <w:iCs/>
                <w:lang w:eastAsia="lt-LT"/>
              </w:rPr>
            </w:pPr>
            <w:r w:rsidRPr="005A084C">
              <w:rPr>
                <w:rFonts w:ascii="Times New Roman" w:eastAsia="Times New Roman" w:hAnsi="Times New Roman" w:cs="Times New Roman"/>
                <w:b/>
                <w:iCs/>
                <w:lang w:eastAsia="lt-LT"/>
              </w:rPr>
              <w:t>X=40</w:t>
            </w:r>
          </w:p>
        </w:tc>
      </w:tr>
      <w:tr w:rsidR="00952B60" w:rsidRPr="005A084C" w14:paraId="48D8F8F5" w14:textId="77777777" w:rsidTr="00773A1C">
        <w:tc>
          <w:tcPr>
            <w:tcW w:w="5035" w:type="dxa"/>
            <w:gridSpan w:val="2"/>
            <w:vAlign w:val="center"/>
          </w:tcPr>
          <w:p w14:paraId="0BDC0A03" w14:textId="6E2EDD21" w:rsidR="00952B60" w:rsidRPr="005A084C" w:rsidRDefault="00952B60" w:rsidP="00952B60">
            <w:pPr>
              <w:spacing w:after="0" w:line="240" w:lineRule="auto"/>
              <w:jc w:val="center"/>
              <w:rPr>
                <w:rFonts w:ascii="Times New Roman" w:hAnsi="Times New Roman" w:cs="Times New Roman"/>
                <w:b/>
                <w:iCs/>
              </w:rPr>
            </w:pPr>
            <w:r w:rsidRPr="005A084C">
              <w:rPr>
                <w:rFonts w:ascii="Times New Roman" w:eastAsia="Times New Roman" w:hAnsi="Times New Roman" w:cs="Times New Roman"/>
                <w:b/>
                <w:iCs/>
                <w:color w:val="000000"/>
              </w:rPr>
              <w:t>Antrasis kriterijus – Kokybė (T)</w:t>
            </w:r>
          </w:p>
        </w:tc>
        <w:tc>
          <w:tcPr>
            <w:tcW w:w="2520" w:type="dxa"/>
            <w:vAlign w:val="center"/>
          </w:tcPr>
          <w:p w14:paraId="1378C918" w14:textId="77777777" w:rsidR="00952B60" w:rsidRPr="005A084C" w:rsidRDefault="00952B60" w:rsidP="00952B60">
            <w:pPr>
              <w:spacing w:after="31" w:line="250" w:lineRule="auto"/>
              <w:jc w:val="center"/>
              <w:rPr>
                <w:rFonts w:ascii="Times New Roman" w:eastAsia="Times New Roman" w:hAnsi="Times New Roman" w:cs="Times New Roman"/>
                <w:b/>
                <w:iCs/>
                <w:lang w:eastAsia="lt-LT"/>
              </w:rPr>
            </w:pPr>
          </w:p>
        </w:tc>
        <w:tc>
          <w:tcPr>
            <w:tcW w:w="2160" w:type="dxa"/>
            <w:vAlign w:val="center"/>
          </w:tcPr>
          <w:p w14:paraId="1BC75372" w14:textId="1AF295EF" w:rsidR="00952B60" w:rsidRPr="005A084C" w:rsidRDefault="00952B60" w:rsidP="00952B60">
            <w:pPr>
              <w:spacing w:after="31" w:line="250" w:lineRule="auto"/>
              <w:jc w:val="center"/>
              <w:rPr>
                <w:rFonts w:ascii="Times New Roman" w:eastAsia="Times New Roman" w:hAnsi="Times New Roman" w:cs="Times New Roman"/>
                <w:b/>
                <w:iCs/>
                <w:lang w:val="en-US" w:eastAsia="lt-LT"/>
              </w:rPr>
            </w:pPr>
            <w:r w:rsidRPr="005A084C">
              <w:rPr>
                <w:rFonts w:ascii="Times New Roman" w:eastAsia="Times New Roman" w:hAnsi="Times New Roman" w:cs="Times New Roman"/>
                <w:b/>
                <w:iCs/>
                <w:lang w:eastAsia="lt-LT"/>
              </w:rPr>
              <w:t>Y=60</w:t>
            </w:r>
          </w:p>
        </w:tc>
      </w:tr>
      <w:tr w:rsidR="00952B60" w:rsidRPr="005A084C" w14:paraId="0802A018" w14:textId="77777777" w:rsidTr="00F11B24">
        <w:tc>
          <w:tcPr>
            <w:tcW w:w="783" w:type="dxa"/>
            <w:vAlign w:val="center"/>
          </w:tcPr>
          <w:p w14:paraId="42109EAF" w14:textId="109BA58C" w:rsidR="00952B60" w:rsidRPr="005A084C" w:rsidRDefault="00952B60" w:rsidP="00952B60">
            <w:pPr>
              <w:spacing w:after="31" w:line="250" w:lineRule="auto"/>
              <w:ind w:hanging="25"/>
              <w:jc w:val="center"/>
              <w:rPr>
                <w:rFonts w:ascii="Times New Roman" w:eastAsia="Times New Roman" w:hAnsi="Times New Roman" w:cs="Times New Roman"/>
                <w:b/>
                <w:lang w:eastAsia="lt-LT"/>
              </w:rPr>
            </w:pPr>
            <w:r w:rsidRPr="005A084C">
              <w:rPr>
                <w:rFonts w:ascii="Times New Roman" w:eastAsia="Times New Roman" w:hAnsi="Times New Roman" w:cs="Times New Roman"/>
                <w:b/>
                <w:lang w:eastAsia="lt-LT"/>
              </w:rPr>
              <w:t>Eil. Nr.</w:t>
            </w:r>
          </w:p>
        </w:tc>
        <w:tc>
          <w:tcPr>
            <w:tcW w:w="4252" w:type="dxa"/>
            <w:vAlign w:val="center"/>
          </w:tcPr>
          <w:p w14:paraId="0DE2C3C0" w14:textId="77777777" w:rsidR="00952B60" w:rsidRPr="005A084C" w:rsidRDefault="00952B60" w:rsidP="00952B60">
            <w:pPr>
              <w:spacing w:after="31" w:line="250" w:lineRule="auto"/>
              <w:ind w:firstLine="426"/>
              <w:jc w:val="center"/>
              <w:rPr>
                <w:rFonts w:ascii="Times New Roman" w:eastAsia="Times New Roman" w:hAnsi="Times New Roman" w:cs="Times New Roman"/>
                <w:b/>
                <w:lang w:eastAsia="lt-LT"/>
              </w:rPr>
            </w:pPr>
            <w:r w:rsidRPr="005A084C">
              <w:rPr>
                <w:rFonts w:ascii="Times New Roman" w:eastAsia="Times New Roman" w:hAnsi="Times New Roman" w:cs="Times New Roman"/>
                <w:b/>
                <w:lang w:eastAsia="lt-LT"/>
              </w:rPr>
              <w:t>Kokybės vertinimo kriterijai</w:t>
            </w:r>
          </w:p>
          <w:p w14:paraId="12A469AE" w14:textId="243F83E2" w:rsidR="00952B60" w:rsidRPr="005A084C" w:rsidRDefault="00952B60" w:rsidP="00952B60">
            <w:pPr>
              <w:spacing w:after="0" w:line="240" w:lineRule="auto"/>
              <w:jc w:val="center"/>
              <w:rPr>
                <w:rFonts w:ascii="Times New Roman" w:eastAsia="Times New Roman" w:hAnsi="Times New Roman" w:cs="Times New Roman"/>
                <w:b/>
                <w:i/>
                <w:color w:val="000000"/>
              </w:rPr>
            </w:pPr>
            <w:r w:rsidRPr="005A084C">
              <w:rPr>
                <w:rFonts w:ascii="Times New Roman" w:eastAsia="Times New Roman" w:hAnsi="Times New Roman" w:cs="Times New Roman"/>
                <w:b/>
                <w:lang w:eastAsia="lt-LT"/>
              </w:rPr>
              <w:t>(T</w:t>
            </w:r>
            <w:r w:rsidR="009C2282" w:rsidRPr="005A084C">
              <w:rPr>
                <w:rFonts w:ascii="Times New Roman" w:eastAsia="Times New Roman" w:hAnsi="Times New Roman" w:cs="Times New Roman"/>
                <w:b/>
                <w:vertAlign w:val="subscript"/>
                <w:lang w:eastAsia="lt-LT"/>
              </w:rPr>
              <w:t>s</w:t>
            </w:r>
            <w:r w:rsidRPr="005A084C">
              <w:rPr>
                <w:rFonts w:ascii="Times New Roman" w:eastAsia="Times New Roman" w:hAnsi="Times New Roman" w:cs="Times New Roman"/>
                <w:b/>
                <w:lang w:eastAsia="lt-LT"/>
              </w:rPr>
              <w:t>)</w:t>
            </w:r>
          </w:p>
        </w:tc>
        <w:tc>
          <w:tcPr>
            <w:tcW w:w="2520" w:type="dxa"/>
            <w:vAlign w:val="center"/>
          </w:tcPr>
          <w:p w14:paraId="48770457" w14:textId="77777777" w:rsidR="00952B60" w:rsidRPr="005A084C" w:rsidRDefault="00952B60" w:rsidP="00952B60">
            <w:pPr>
              <w:spacing w:after="31" w:line="250" w:lineRule="auto"/>
              <w:jc w:val="center"/>
              <w:rPr>
                <w:rFonts w:ascii="Times New Roman" w:eastAsia="Times New Roman" w:hAnsi="Times New Roman" w:cs="Times New Roman"/>
                <w:b/>
                <w:lang w:eastAsia="lt-LT"/>
              </w:rPr>
            </w:pPr>
          </w:p>
        </w:tc>
        <w:tc>
          <w:tcPr>
            <w:tcW w:w="2160" w:type="dxa"/>
            <w:vAlign w:val="center"/>
          </w:tcPr>
          <w:p w14:paraId="18EE4610" w14:textId="28AE5F79" w:rsidR="00952B60" w:rsidRPr="005A084C" w:rsidRDefault="00952B60" w:rsidP="00952B60">
            <w:pPr>
              <w:spacing w:after="31" w:line="250" w:lineRule="auto"/>
              <w:jc w:val="center"/>
              <w:rPr>
                <w:rFonts w:ascii="Times New Roman" w:eastAsia="Times New Roman" w:hAnsi="Times New Roman" w:cs="Times New Roman"/>
                <w:b/>
                <w:lang w:eastAsia="lt-LT"/>
              </w:rPr>
            </w:pPr>
            <w:r w:rsidRPr="005A084C">
              <w:rPr>
                <w:rFonts w:ascii="Times New Roman" w:eastAsia="Times New Roman" w:hAnsi="Times New Roman" w:cs="Times New Roman"/>
                <w:b/>
                <w:lang w:eastAsia="lt-LT"/>
              </w:rPr>
              <w:t>Funkcinio parametro lyginamasis svoris</w:t>
            </w:r>
          </w:p>
        </w:tc>
      </w:tr>
      <w:tr w:rsidR="00952B60" w:rsidRPr="005A084C" w14:paraId="3DEC745D" w14:textId="581F39F4" w:rsidTr="00F11B24">
        <w:tc>
          <w:tcPr>
            <w:tcW w:w="783" w:type="dxa"/>
          </w:tcPr>
          <w:p w14:paraId="59BA604D" w14:textId="77777777" w:rsidR="00952B60" w:rsidRPr="005A084C" w:rsidRDefault="00952B60" w:rsidP="00952B60">
            <w:pPr>
              <w:spacing w:after="31" w:line="250" w:lineRule="auto"/>
              <w:jc w:val="center"/>
              <w:rPr>
                <w:rFonts w:ascii="Times New Roman" w:eastAsia="Times New Roman" w:hAnsi="Times New Roman" w:cs="Times New Roman"/>
                <w:lang w:eastAsia="lt-LT"/>
              </w:rPr>
            </w:pPr>
            <w:r w:rsidRPr="005A084C">
              <w:rPr>
                <w:rFonts w:ascii="Times New Roman" w:eastAsia="Times New Roman" w:hAnsi="Times New Roman" w:cs="Times New Roman"/>
                <w:lang w:eastAsia="lt-LT"/>
              </w:rPr>
              <w:t>1.</w:t>
            </w:r>
          </w:p>
        </w:tc>
        <w:tc>
          <w:tcPr>
            <w:tcW w:w="4252" w:type="dxa"/>
          </w:tcPr>
          <w:p w14:paraId="5E0D43BC" w14:textId="45CC07EF" w:rsidR="00952B60" w:rsidRPr="005A084C" w:rsidRDefault="00DD019C" w:rsidP="00952B60">
            <w:pPr>
              <w:spacing w:after="0" w:line="240" w:lineRule="auto"/>
              <w:rPr>
                <w:rFonts w:ascii="Times New Roman" w:eastAsia="Calibri" w:hAnsi="Times New Roman" w:cs="Times New Roman"/>
                <w:lang w:eastAsia="en-GB"/>
              </w:rPr>
            </w:pPr>
            <w:r w:rsidRPr="005A084C">
              <w:rPr>
                <w:rFonts w:ascii="Times New Roman" w:eastAsia="Calibri" w:hAnsi="Times New Roman" w:cs="Times New Roman"/>
                <w:b/>
                <w:lang w:eastAsia="en-GB"/>
              </w:rPr>
              <w:t>T</w:t>
            </w:r>
            <w:r w:rsidR="00952B60" w:rsidRPr="005A084C">
              <w:rPr>
                <w:rFonts w:ascii="Times New Roman" w:eastAsia="Calibri" w:hAnsi="Times New Roman" w:cs="Times New Roman"/>
                <w:b/>
                <w:vertAlign w:val="subscript"/>
                <w:lang w:eastAsia="en-GB"/>
              </w:rPr>
              <w:t>1</w:t>
            </w:r>
            <w:r w:rsidR="00952B60" w:rsidRPr="005A084C">
              <w:rPr>
                <w:rFonts w:ascii="Times New Roman" w:eastAsia="Calibri" w:hAnsi="Times New Roman" w:cs="Times New Roman"/>
                <w:b/>
                <w:lang w:eastAsia="en-GB"/>
              </w:rPr>
              <w:t xml:space="preserve"> </w:t>
            </w:r>
            <w:r w:rsidR="00952B60" w:rsidRPr="005A084C">
              <w:rPr>
                <w:rFonts w:ascii="Times New Roman" w:eastAsia="Calibri" w:hAnsi="Times New Roman" w:cs="Times New Roman"/>
                <w:lang w:eastAsia="en-GB"/>
              </w:rPr>
              <w:t xml:space="preserve">– </w:t>
            </w:r>
            <w:r w:rsidR="00952B60" w:rsidRPr="005A084C">
              <w:rPr>
                <w:rFonts w:ascii="Times New Roman" w:eastAsia="Calibri" w:hAnsi="Times New Roman" w:cs="Times New Roman"/>
                <w:b/>
                <w:lang w:eastAsia="en-GB"/>
              </w:rPr>
              <w:t>Sprendimo architektūra, plečiamumas ir licencijavimas:</w:t>
            </w:r>
            <w:r w:rsidR="00952B60" w:rsidRPr="005A084C">
              <w:rPr>
                <w:rFonts w:ascii="Times New Roman" w:eastAsia="Calibri" w:hAnsi="Times New Roman" w:cs="Times New Roman"/>
                <w:lang w:eastAsia="en-GB"/>
              </w:rPr>
              <w:t xml:space="preserve"> siūlomas sprendimas (architektūra ir realizavimas) orientuotas į vystymą, Sistemos plėtrą. Platforma atvira vystytojams, populiari, inovatyvi. Licencijos ir licencijavimo modelis aiškus, atviras plėtrai ir panaudojamumui.</w:t>
            </w:r>
          </w:p>
        </w:tc>
        <w:tc>
          <w:tcPr>
            <w:tcW w:w="2520" w:type="dxa"/>
          </w:tcPr>
          <w:p w14:paraId="359B36B9" w14:textId="04A5C909" w:rsidR="00952B60" w:rsidRPr="005A084C" w:rsidRDefault="00952B60" w:rsidP="00952B60">
            <w:pPr>
              <w:spacing w:after="0" w:line="240" w:lineRule="auto"/>
              <w:rPr>
                <w:rFonts w:ascii="Times New Roman" w:eastAsia="Calibri" w:hAnsi="Times New Roman" w:cs="Times New Roman"/>
                <w:b/>
                <w:lang w:eastAsia="en-GB"/>
              </w:rPr>
            </w:pPr>
            <w:r w:rsidRPr="005A084C">
              <w:rPr>
                <w:rFonts w:ascii="Times New Roman" w:hAnsi="Times New Roman" w:cs="Times New Roman"/>
              </w:rPr>
              <w:t xml:space="preserve">Perkančioji organizacija ekspertiniu vertinimo būdu įvertina Tiekėjo pasiūlymą pagal šį vertinimo kriterijų </w:t>
            </w:r>
            <w:r w:rsidR="00367CB1" w:rsidRPr="005A084C">
              <w:rPr>
                <w:rFonts w:ascii="Times New Roman" w:hAnsi="Times New Roman" w:cs="Times New Roman"/>
              </w:rPr>
              <w:t>R</w:t>
            </w:r>
            <w:r w:rsidR="00367CB1" w:rsidRPr="005A084C">
              <w:rPr>
                <w:rFonts w:ascii="Times New Roman" w:hAnsi="Times New Roman" w:cs="Times New Roman"/>
                <w:vertAlign w:val="subscript"/>
              </w:rPr>
              <w:t>1</w:t>
            </w:r>
            <w:r w:rsidR="00367CB1" w:rsidRPr="005A084C">
              <w:rPr>
                <w:rFonts w:ascii="Times New Roman" w:hAnsi="Times New Roman" w:cs="Times New Roman"/>
              </w:rPr>
              <w:t xml:space="preserve"> </w:t>
            </w:r>
            <w:r w:rsidRPr="005A084C">
              <w:rPr>
                <w:rFonts w:ascii="Times New Roman" w:hAnsi="Times New Roman" w:cs="Times New Roman"/>
              </w:rPr>
              <w:t>balais nuo 0 iki 10.</w:t>
            </w:r>
          </w:p>
        </w:tc>
        <w:tc>
          <w:tcPr>
            <w:tcW w:w="2160" w:type="dxa"/>
          </w:tcPr>
          <w:p w14:paraId="40FF355C" w14:textId="77E05504" w:rsidR="00952B60" w:rsidRPr="005A084C" w:rsidRDefault="00952B60" w:rsidP="00952B60">
            <w:pPr>
              <w:spacing w:after="0" w:line="240" w:lineRule="auto"/>
              <w:rPr>
                <w:rFonts w:ascii="Times New Roman" w:eastAsia="Calibri" w:hAnsi="Times New Roman" w:cs="Times New Roman"/>
                <w:bCs/>
                <w:lang w:val="en-US" w:eastAsia="en-GB"/>
              </w:rPr>
            </w:pPr>
            <w:r w:rsidRPr="005A084C">
              <w:rPr>
                <w:rFonts w:ascii="Times New Roman" w:eastAsia="Calibri" w:hAnsi="Times New Roman" w:cs="Times New Roman"/>
                <w:bCs/>
                <w:lang w:eastAsia="en-GB"/>
              </w:rPr>
              <w:t>L</w:t>
            </w:r>
            <w:r w:rsidRPr="005A084C">
              <w:rPr>
                <w:rFonts w:ascii="Times New Roman" w:eastAsia="Calibri" w:hAnsi="Times New Roman" w:cs="Times New Roman"/>
                <w:bCs/>
                <w:vertAlign w:val="subscript"/>
                <w:lang w:eastAsia="en-GB"/>
              </w:rPr>
              <w:t>1</w:t>
            </w:r>
            <w:r w:rsidRPr="005A084C">
              <w:rPr>
                <w:rFonts w:ascii="Times New Roman" w:eastAsia="Calibri" w:hAnsi="Times New Roman" w:cs="Times New Roman"/>
                <w:bCs/>
                <w:lang w:val="en-US" w:eastAsia="en-GB"/>
              </w:rPr>
              <w:t>=0,5</w:t>
            </w:r>
          </w:p>
        </w:tc>
      </w:tr>
      <w:tr w:rsidR="00952B60" w:rsidRPr="005A084C" w14:paraId="1AD08425" w14:textId="19AEDD98" w:rsidTr="00F11B24">
        <w:tc>
          <w:tcPr>
            <w:tcW w:w="783" w:type="dxa"/>
          </w:tcPr>
          <w:p w14:paraId="3338F14C" w14:textId="77777777" w:rsidR="00952B60" w:rsidRPr="005A084C" w:rsidRDefault="00952B60" w:rsidP="00952B60">
            <w:pPr>
              <w:spacing w:after="31" w:line="250" w:lineRule="auto"/>
              <w:jc w:val="center"/>
              <w:rPr>
                <w:rFonts w:ascii="Times New Roman" w:eastAsia="Times New Roman" w:hAnsi="Times New Roman" w:cs="Times New Roman"/>
                <w:lang w:eastAsia="lt-LT"/>
              </w:rPr>
            </w:pPr>
            <w:r w:rsidRPr="005A084C">
              <w:rPr>
                <w:rFonts w:ascii="Times New Roman" w:eastAsia="Times New Roman" w:hAnsi="Times New Roman" w:cs="Times New Roman"/>
                <w:lang w:eastAsia="lt-LT"/>
              </w:rPr>
              <w:t>2.</w:t>
            </w:r>
          </w:p>
        </w:tc>
        <w:tc>
          <w:tcPr>
            <w:tcW w:w="4252" w:type="dxa"/>
          </w:tcPr>
          <w:p w14:paraId="2A8DBE76" w14:textId="0BEB31CE" w:rsidR="00952B60" w:rsidRPr="005A084C" w:rsidRDefault="00DD019C" w:rsidP="00952B60">
            <w:pPr>
              <w:spacing w:after="31" w:line="250" w:lineRule="auto"/>
              <w:jc w:val="both"/>
              <w:rPr>
                <w:rFonts w:ascii="Times New Roman" w:eastAsia="Times New Roman" w:hAnsi="Times New Roman" w:cs="Times New Roman"/>
                <w:lang w:eastAsia="lt-LT"/>
              </w:rPr>
            </w:pPr>
            <w:r w:rsidRPr="005A084C">
              <w:rPr>
                <w:rFonts w:ascii="Times New Roman" w:eastAsia="Times New Roman" w:hAnsi="Times New Roman" w:cs="Times New Roman"/>
                <w:b/>
                <w:lang w:eastAsia="lt-LT"/>
              </w:rPr>
              <w:t>T</w:t>
            </w:r>
            <w:r w:rsidR="00952B60" w:rsidRPr="005A084C">
              <w:rPr>
                <w:rFonts w:ascii="Times New Roman" w:eastAsia="Times New Roman" w:hAnsi="Times New Roman" w:cs="Times New Roman"/>
                <w:b/>
                <w:vertAlign w:val="subscript"/>
                <w:lang w:eastAsia="lt-LT"/>
              </w:rPr>
              <w:t>2</w:t>
            </w:r>
            <w:r w:rsidR="00952B60" w:rsidRPr="005A084C">
              <w:rPr>
                <w:rFonts w:ascii="Times New Roman" w:eastAsia="Times New Roman" w:hAnsi="Times New Roman" w:cs="Times New Roman"/>
                <w:b/>
                <w:lang w:eastAsia="lt-LT"/>
              </w:rPr>
              <w:t xml:space="preserve"> </w:t>
            </w:r>
            <w:r w:rsidR="00952B60" w:rsidRPr="005A084C">
              <w:rPr>
                <w:rFonts w:ascii="Times New Roman" w:eastAsia="Times New Roman" w:hAnsi="Times New Roman" w:cs="Times New Roman"/>
                <w:lang w:eastAsia="lt-LT"/>
              </w:rPr>
              <w:t xml:space="preserve">– </w:t>
            </w:r>
            <w:r w:rsidR="00952B60" w:rsidRPr="005A084C">
              <w:rPr>
                <w:rFonts w:ascii="Times New Roman" w:eastAsia="Times New Roman" w:hAnsi="Times New Roman" w:cs="Times New Roman"/>
                <w:b/>
                <w:lang w:eastAsia="lt-LT"/>
              </w:rPr>
              <w:t>Sistemos funkcionalumas, naudojimo paprastumas ir patogumas:</w:t>
            </w:r>
            <w:r w:rsidR="00952B60" w:rsidRPr="005A084C">
              <w:rPr>
                <w:rFonts w:ascii="Times New Roman" w:eastAsia="Times New Roman" w:hAnsi="Times New Roman" w:cs="Times New Roman"/>
                <w:lang w:eastAsia="lt-LT"/>
              </w:rPr>
              <w:t xml:space="preserve"> Sistema turi užtikrinti nesudėtingą, visiems naudotojams suprantamą, intuityvų naudojimą. Minimizuotos naudojimo klaidų (žmogiškos klaidos) galimybės. Sistema turi užtikrinti sklandų ir greitą darbą – užduotys turi būti atliekamos optimaliu veiksmų skaičiumi, be perteklinių operacijų. </w:t>
            </w:r>
          </w:p>
        </w:tc>
        <w:tc>
          <w:tcPr>
            <w:tcW w:w="2520" w:type="dxa"/>
          </w:tcPr>
          <w:p w14:paraId="74D83C5C" w14:textId="6D02AB80" w:rsidR="00952B60" w:rsidRPr="005A084C" w:rsidRDefault="00952B60" w:rsidP="00952B60">
            <w:pPr>
              <w:spacing w:after="31" w:line="250" w:lineRule="auto"/>
              <w:jc w:val="both"/>
              <w:rPr>
                <w:rFonts w:ascii="Times New Roman" w:eastAsia="Times New Roman" w:hAnsi="Times New Roman" w:cs="Times New Roman"/>
                <w:b/>
                <w:lang w:eastAsia="lt-LT"/>
              </w:rPr>
            </w:pPr>
            <w:r w:rsidRPr="005A084C">
              <w:rPr>
                <w:rFonts w:ascii="Times New Roman" w:hAnsi="Times New Roman" w:cs="Times New Roman"/>
              </w:rPr>
              <w:t xml:space="preserve">Perkančioji organizacija ekspertiniu vertinimo būdu įvertina Tiekėjo pasiūlymą pagal šį vertinimo kriterijų </w:t>
            </w:r>
            <w:r w:rsidR="00367CB1" w:rsidRPr="005A084C">
              <w:rPr>
                <w:rFonts w:ascii="Times New Roman" w:hAnsi="Times New Roman" w:cs="Times New Roman"/>
              </w:rPr>
              <w:t>R</w:t>
            </w:r>
            <w:r w:rsidR="00367CB1" w:rsidRPr="005A084C">
              <w:rPr>
                <w:rFonts w:ascii="Times New Roman" w:hAnsi="Times New Roman" w:cs="Times New Roman"/>
                <w:vertAlign w:val="subscript"/>
              </w:rPr>
              <w:t>2</w:t>
            </w:r>
            <w:r w:rsidR="00367CB1" w:rsidRPr="005A084C">
              <w:rPr>
                <w:rFonts w:ascii="Times New Roman" w:hAnsi="Times New Roman" w:cs="Times New Roman"/>
              </w:rPr>
              <w:t xml:space="preserve"> </w:t>
            </w:r>
            <w:r w:rsidRPr="005A084C">
              <w:rPr>
                <w:rFonts w:ascii="Times New Roman" w:hAnsi="Times New Roman" w:cs="Times New Roman"/>
              </w:rPr>
              <w:t>balais nuo 0 iki 10.</w:t>
            </w:r>
          </w:p>
        </w:tc>
        <w:tc>
          <w:tcPr>
            <w:tcW w:w="2160" w:type="dxa"/>
          </w:tcPr>
          <w:p w14:paraId="6477DB85" w14:textId="7242A81A" w:rsidR="00952B60" w:rsidRPr="005A084C" w:rsidRDefault="00952B60" w:rsidP="00952B60">
            <w:pPr>
              <w:spacing w:after="31" w:line="250" w:lineRule="auto"/>
              <w:jc w:val="both"/>
              <w:rPr>
                <w:rFonts w:ascii="Times New Roman" w:eastAsia="Times New Roman" w:hAnsi="Times New Roman" w:cs="Times New Roman"/>
                <w:bCs/>
                <w:lang w:eastAsia="lt-LT"/>
              </w:rPr>
            </w:pPr>
            <w:r w:rsidRPr="005A084C">
              <w:rPr>
                <w:rFonts w:ascii="Times New Roman" w:eastAsia="Times New Roman" w:hAnsi="Times New Roman" w:cs="Times New Roman"/>
                <w:bCs/>
                <w:lang w:eastAsia="lt-LT"/>
              </w:rPr>
              <w:t>L</w:t>
            </w:r>
            <w:r w:rsidRPr="005A084C">
              <w:rPr>
                <w:rFonts w:ascii="Times New Roman" w:eastAsia="Times New Roman" w:hAnsi="Times New Roman" w:cs="Times New Roman"/>
                <w:bCs/>
                <w:vertAlign w:val="subscript"/>
                <w:lang w:eastAsia="lt-LT"/>
              </w:rPr>
              <w:t>2</w:t>
            </w:r>
            <w:r w:rsidRPr="005A084C">
              <w:rPr>
                <w:rFonts w:ascii="Times New Roman" w:eastAsia="Times New Roman" w:hAnsi="Times New Roman" w:cs="Times New Roman"/>
                <w:bCs/>
                <w:lang w:eastAsia="lt-LT"/>
              </w:rPr>
              <w:t>=0,3</w:t>
            </w:r>
          </w:p>
        </w:tc>
      </w:tr>
      <w:tr w:rsidR="00952B60" w:rsidRPr="005A084C" w14:paraId="15E4408C" w14:textId="652D6C35" w:rsidTr="00F11B24">
        <w:tc>
          <w:tcPr>
            <w:tcW w:w="783" w:type="dxa"/>
          </w:tcPr>
          <w:p w14:paraId="4C6A39A9" w14:textId="77777777" w:rsidR="00952B60" w:rsidRPr="005A084C" w:rsidRDefault="00952B60" w:rsidP="00952B60">
            <w:pPr>
              <w:spacing w:after="31" w:line="250" w:lineRule="auto"/>
              <w:jc w:val="center"/>
              <w:rPr>
                <w:rFonts w:ascii="Times New Roman" w:eastAsia="Times New Roman" w:hAnsi="Times New Roman" w:cs="Times New Roman"/>
                <w:lang w:eastAsia="lt-LT"/>
              </w:rPr>
            </w:pPr>
            <w:r w:rsidRPr="005A084C">
              <w:rPr>
                <w:rFonts w:ascii="Times New Roman" w:eastAsia="Times New Roman" w:hAnsi="Times New Roman" w:cs="Times New Roman"/>
                <w:lang w:eastAsia="lt-LT"/>
              </w:rPr>
              <w:t>3.</w:t>
            </w:r>
          </w:p>
        </w:tc>
        <w:tc>
          <w:tcPr>
            <w:tcW w:w="4252" w:type="dxa"/>
          </w:tcPr>
          <w:p w14:paraId="2232E768" w14:textId="7ECE58F9" w:rsidR="00952B60" w:rsidRPr="005A084C" w:rsidRDefault="00DD019C" w:rsidP="00952B60">
            <w:pPr>
              <w:spacing w:after="0" w:line="240" w:lineRule="auto"/>
              <w:jc w:val="both"/>
              <w:rPr>
                <w:rFonts w:ascii="Times New Roman" w:eastAsia="Calibri" w:hAnsi="Times New Roman" w:cs="Times New Roman"/>
                <w:lang w:eastAsia="en-GB"/>
              </w:rPr>
            </w:pPr>
            <w:r w:rsidRPr="005A084C">
              <w:rPr>
                <w:rFonts w:ascii="Times New Roman" w:eastAsia="Calibri" w:hAnsi="Times New Roman" w:cs="Times New Roman"/>
                <w:b/>
                <w:lang w:eastAsia="en-GB"/>
              </w:rPr>
              <w:t>T</w:t>
            </w:r>
            <w:r w:rsidR="00952B60" w:rsidRPr="005A084C">
              <w:rPr>
                <w:rFonts w:ascii="Times New Roman" w:eastAsia="Calibri" w:hAnsi="Times New Roman" w:cs="Times New Roman"/>
                <w:b/>
                <w:vertAlign w:val="subscript"/>
                <w:lang w:eastAsia="en-GB"/>
              </w:rPr>
              <w:t>3</w:t>
            </w:r>
            <w:r w:rsidR="00952B60" w:rsidRPr="005A084C">
              <w:rPr>
                <w:rFonts w:ascii="Times New Roman" w:eastAsia="Calibri" w:hAnsi="Times New Roman" w:cs="Times New Roman"/>
                <w:lang w:eastAsia="en-GB"/>
              </w:rPr>
              <w:t xml:space="preserve"> – </w:t>
            </w:r>
            <w:r w:rsidR="00952B60" w:rsidRPr="005A084C">
              <w:rPr>
                <w:rFonts w:ascii="Times New Roman" w:eastAsia="Calibri" w:hAnsi="Times New Roman" w:cs="Times New Roman"/>
                <w:b/>
                <w:lang w:eastAsia="en-GB"/>
              </w:rPr>
              <w:t xml:space="preserve">Paslaugų teikimo strategija ir pasiūlymo įgyvendinamumas: </w:t>
            </w:r>
            <w:r w:rsidR="00952B60" w:rsidRPr="005A084C">
              <w:rPr>
                <w:rFonts w:ascii="Times New Roman" w:eastAsia="Calibri" w:hAnsi="Times New Roman" w:cs="Times New Roman"/>
                <w:lang w:eastAsia="en-GB"/>
              </w:rPr>
              <w:t>tiekėjo gebėjimas įsigilinti į užsakovo poreikius ir specifiką, Sistemai keliamų reikalavimų suvokimas ir tinkamo įgyvendinimo užtikrinimas, informacinės sistemos kūrimo proceso valdymas.</w:t>
            </w:r>
          </w:p>
        </w:tc>
        <w:tc>
          <w:tcPr>
            <w:tcW w:w="2520" w:type="dxa"/>
          </w:tcPr>
          <w:p w14:paraId="103C95BE" w14:textId="443DA8F0" w:rsidR="00952B60" w:rsidRPr="005A084C" w:rsidRDefault="00952B60" w:rsidP="00952B60">
            <w:pPr>
              <w:spacing w:after="0" w:line="240" w:lineRule="auto"/>
              <w:jc w:val="both"/>
              <w:rPr>
                <w:rFonts w:ascii="Times New Roman" w:eastAsia="Calibri" w:hAnsi="Times New Roman" w:cs="Times New Roman"/>
                <w:b/>
                <w:lang w:eastAsia="en-GB"/>
              </w:rPr>
            </w:pPr>
            <w:r w:rsidRPr="005A084C">
              <w:rPr>
                <w:rFonts w:ascii="Times New Roman" w:hAnsi="Times New Roman" w:cs="Times New Roman"/>
              </w:rPr>
              <w:t xml:space="preserve">Perkančioji organizacija ekspertiniu vertinimo būdu įvertina Tiekėjo pasiūlymą pagal šį vertinimo kriterijų </w:t>
            </w:r>
            <w:r w:rsidR="00367CB1" w:rsidRPr="005A084C">
              <w:rPr>
                <w:rFonts w:ascii="Times New Roman" w:hAnsi="Times New Roman" w:cs="Times New Roman"/>
              </w:rPr>
              <w:t>R</w:t>
            </w:r>
            <w:r w:rsidR="00367CB1" w:rsidRPr="005A084C">
              <w:rPr>
                <w:rFonts w:ascii="Times New Roman" w:hAnsi="Times New Roman" w:cs="Times New Roman"/>
                <w:vertAlign w:val="subscript"/>
              </w:rPr>
              <w:t>3</w:t>
            </w:r>
            <w:r w:rsidR="00367CB1" w:rsidRPr="005A084C">
              <w:rPr>
                <w:rFonts w:ascii="Times New Roman" w:hAnsi="Times New Roman" w:cs="Times New Roman"/>
              </w:rPr>
              <w:t xml:space="preserve"> </w:t>
            </w:r>
            <w:r w:rsidRPr="005A084C">
              <w:rPr>
                <w:rFonts w:ascii="Times New Roman" w:hAnsi="Times New Roman" w:cs="Times New Roman"/>
              </w:rPr>
              <w:t>balais nuo 0 iki 10</w:t>
            </w:r>
          </w:p>
        </w:tc>
        <w:tc>
          <w:tcPr>
            <w:tcW w:w="2160" w:type="dxa"/>
          </w:tcPr>
          <w:p w14:paraId="1A9D26DD" w14:textId="49A3054C" w:rsidR="00952B60" w:rsidRPr="005A084C" w:rsidRDefault="00952B60" w:rsidP="00952B60">
            <w:pPr>
              <w:spacing w:after="0" w:line="240" w:lineRule="auto"/>
              <w:jc w:val="both"/>
              <w:rPr>
                <w:rFonts w:ascii="Times New Roman" w:eastAsia="Calibri" w:hAnsi="Times New Roman" w:cs="Times New Roman"/>
                <w:bCs/>
                <w:lang w:eastAsia="en-GB"/>
              </w:rPr>
            </w:pPr>
            <w:r w:rsidRPr="005A084C">
              <w:rPr>
                <w:rFonts w:ascii="Times New Roman" w:eastAsia="Calibri" w:hAnsi="Times New Roman" w:cs="Times New Roman"/>
                <w:bCs/>
                <w:lang w:eastAsia="en-GB"/>
              </w:rPr>
              <w:t>L</w:t>
            </w:r>
            <w:r w:rsidRPr="005A084C">
              <w:rPr>
                <w:rFonts w:ascii="Times New Roman" w:eastAsia="Calibri" w:hAnsi="Times New Roman" w:cs="Times New Roman"/>
                <w:bCs/>
                <w:vertAlign w:val="subscript"/>
                <w:lang w:eastAsia="en-GB"/>
              </w:rPr>
              <w:t>3</w:t>
            </w:r>
            <w:r w:rsidRPr="005A084C">
              <w:rPr>
                <w:rFonts w:ascii="Times New Roman" w:eastAsia="Calibri" w:hAnsi="Times New Roman" w:cs="Times New Roman"/>
                <w:bCs/>
                <w:lang w:eastAsia="en-GB"/>
              </w:rPr>
              <w:t>=0,2</w:t>
            </w:r>
          </w:p>
        </w:tc>
      </w:tr>
    </w:tbl>
    <w:p w14:paraId="464B5AE2" w14:textId="77777777" w:rsidR="00C95B14" w:rsidRPr="005A084C" w:rsidRDefault="00C95B14" w:rsidP="00C95B14">
      <w:pPr>
        <w:pStyle w:val="Sraopastraipa"/>
        <w:spacing w:after="0" w:line="240" w:lineRule="auto"/>
        <w:ind w:left="567"/>
        <w:jc w:val="both"/>
        <w:rPr>
          <w:rFonts w:ascii="Times New Roman" w:eastAsia="Arial Unicode MS" w:hAnsi="Times New Roman" w:cs="Times New Roman"/>
          <w:u w:color="000000"/>
          <w:bdr w:val="nil"/>
          <w:lang w:eastAsia="lt-LT"/>
        </w:rPr>
      </w:pPr>
    </w:p>
    <w:p w14:paraId="45706FA5" w14:textId="4C0EF36A" w:rsidR="008F01FD" w:rsidRPr="005A084C" w:rsidRDefault="008F01FD" w:rsidP="00741968">
      <w:pPr>
        <w:pStyle w:val="Sraopastraipa"/>
        <w:numPr>
          <w:ilvl w:val="0"/>
          <w:numId w:val="2"/>
        </w:numPr>
        <w:spacing w:after="0" w:line="240" w:lineRule="auto"/>
        <w:jc w:val="both"/>
        <w:rPr>
          <w:rFonts w:ascii="Times New Roman" w:eastAsia="Arial Unicode MS" w:hAnsi="Times New Roman" w:cs="Times New Roman"/>
          <w:u w:color="000000"/>
          <w:bdr w:val="nil"/>
          <w:lang w:eastAsia="lt-LT"/>
        </w:rPr>
      </w:pPr>
      <w:r w:rsidRPr="005A084C">
        <w:rPr>
          <w:rFonts w:ascii="Times New Roman" w:eastAsia="Arial Unicode MS" w:hAnsi="Times New Roman" w:cs="Times New Roman"/>
          <w:u w:color="000000"/>
          <w:bdr w:val="nil"/>
          <w:lang w:eastAsia="lt-LT"/>
        </w:rPr>
        <w:t xml:space="preserve">Kokybės vertinimo kriterijų vertinimo </w:t>
      </w:r>
      <w:r w:rsidR="002861B0" w:rsidRPr="005A084C">
        <w:rPr>
          <w:rFonts w:ascii="Times New Roman" w:eastAsia="Arial Unicode MS" w:hAnsi="Times New Roman" w:cs="Times New Roman"/>
          <w:u w:color="000000"/>
          <w:bdr w:val="nil"/>
          <w:lang w:eastAsia="lt-LT"/>
        </w:rPr>
        <w:t>ribos</w:t>
      </w:r>
      <w:r w:rsidRPr="005A084C">
        <w:rPr>
          <w:rFonts w:ascii="Times New Roman" w:eastAsia="Arial Unicode MS" w:hAnsi="Times New Roman" w:cs="Times New Roman"/>
          <w:u w:color="000000"/>
          <w:bdr w:val="nil"/>
          <w:lang w:eastAsia="lt-LT"/>
        </w:rPr>
        <w:t>:</w:t>
      </w:r>
    </w:p>
    <w:p w14:paraId="28BC7666" w14:textId="034E0CE3" w:rsidR="008F01FD" w:rsidRPr="005A084C" w:rsidRDefault="008F01FD" w:rsidP="00741968">
      <w:pPr>
        <w:pStyle w:val="Sraopastraipa"/>
        <w:keepNext/>
        <w:keepLines/>
        <w:numPr>
          <w:ilvl w:val="1"/>
          <w:numId w:val="2"/>
        </w:numPr>
        <w:spacing w:before="240" w:after="360" w:line="240" w:lineRule="auto"/>
        <w:ind w:right="29"/>
        <w:outlineLvl w:val="1"/>
        <w:rPr>
          <w:rFonts w:ascii="Times New Roman" w:eastAsia="Times New Roman" w:hAnsi="Times New Roman" w:cs="Times New Roman"/>
          <w:i/>
          <w:iCs/>
          <w:lang w:eastAsia="lt-LT"/>
        </w:rPr>
      </w:pPr>
      <w:r w:rsidRPr="005A084C">
        <w:rPr>
          <w:rFonts w:ascii="Times New Roman" w:eastAsia="Times New Roman" w:hAnsi="Times New Roman" w:cs="Times New Roman"/>
          <w:i/>
          <w:iCs/>
          <w:lang w:eastAsia="lt-LT"/>
        </w:rPr>
        <w:t>Kriterijus „Sprendimo architektūra, plečiamumas ir licencijavimas“ parametras (</w:t>
      </w:r>
      <w:r w:rsidR="00DD019C" w:rsidRPr="005A084C">
        <w:rPr>
          <w:rFonts w:ascii="Times New Roman" w:eastAsia="Times New Roman" w:hAnsi="Times New Roman" w:cs="Times New Roman"/>
          <w:i/>
          <w:iCs/>
          <w:lang w:eastAsia="lt-LT"/>
        </w:rPr>
        <w:t>T</w:t>
      </w:r>
      <w:r w:rsidRPr="005A084C">
        <w:rPr>
          <w:rFonts w:ascii="Times New Roman" w:eastAsia="Times New Roman" w:hAnsi="Times New Roman" w:cs="Times New Roman"/>
          <w:i/>
          <w:iCs/>
          <w:vertAlign w:val="subscript"/>
          <w:lang w:eastAsia="lt-LT"/>
        </w:rPr>
        <w:t>1</w:t>
      </w:r>
      <w:r w:rsidRPr="005A084C">
        <w:rPr>
          <w:rFonts w:ascii="Times New Roman" w:eastAsia="Times New Roman" w:hAnsi="Times New Roman" w:cs="Times New Roman"/>
          <w:i/>
          <w:iCs/>
          <w:lang w:eastAsia="lt-LT"/>
        </w:rPr>
        <w:t xml:space="preserve">), </w:t>
      </w:r>
    </w:p>
    <w:p w14:paraId="5DA5AB72" w14:textId="6AE370EB" w:rsidR="00900C86" w:rsidRPr="005A084C" w:rsidRDefault="00900C86" w:rsidP="00510FB0">
      <w:pPr>
        <w:pStyle w:val="prastasiniatinklio"/>
        <w:spacing w:before="0" w:beforeAutospacing="0" w:after="0" w:afterAutospacing="0"/>
        <w:ind w:left="709"/>
        <w:rPr>
          <w:sz w:val="22"/>
          <w:szCs w:val="22"/>
        </w:rPr>
      </w:pPr>
      <w:r w:rsidRPr="005A084C">
        <w:rPr>
          <w:sz w:val="22"/>
          <w:szCs w:val="22"/>
        </w:rPr>
        <w:t xml:space="preserve">  </w:t>
      </w:r>
      <w:r w:rsidRPr="005A084C">
        <w:rPr>
          <w:rStyle w:val="Grietas"/>
          <w:sz w:val="22"/>
          <w:szCs w:val="22"/>
        </w:rPr>
        <w:t>0 balų (silpnai).</w:t>
      </w:r>
      <w:r w:rsidRPr="005A084C">
        <w:rPr>
          <w:sz w:val="22"/>
          <w:szCs w:val="22"/>
        </w:rPr>
        <w:br/>
      </w:r>
      <w:r w:rsidR="00493BFC" w:rsidRPr="005A084C">
        <w:rPr>
          <w:sz w:val="22"/>
          <w:szCs w:val="22"/>
        </w:rPr>
        <w:t xml:space="preserve">Sprendimas nėra orientuotas į plečiamumą. Architektūra nepateikta arba </w:t>
      </w:r>
      <w:r w:rsidR="002A57C2" w:rsidRPr="005A084C">
        <w:rPr>
          <w:sz w:val="22"/>
          <w:szCs w:val="22"/>
        </w:rPr>
        <w:t>negalima identifikuoti</w:t>
      </w:r>
      <w:r w:rsidR="00F96587" w:rsidRPr="005A084C">
        <w:rPr>
          <w:sz w:val="22"/>
          <w:szCs w:val="22"/>
        </w:rPr>
        <w:t>, išskirti aprašyme</w:t>
      </w:r>
      <w:r w:rsidR="00493BFC" w:rsidRPr="005A084C">
        <w:rPr>
          <w:sz w:val="22"/>
          <w:szCs w:val="22"/>
        </w:rPr>
        <w:t xml:space="preserve">. Licencijavimo modelis </w:t>
      </w:r>
      <w:r w:rsidR="00070ADB" w:rsidRPr="005A084C">
        <w:rPr>
          <w:sz w:val="22"/>
          <w:szCs w:val="22"/>
        </w:rPr>
        <w:t xml:space="preserve">neaprašytas, </w:t>
      </w:r>
      <w:r w:rsidR="00493BFC" w:rsidRPr="005A084C">
        <w:rPr>
          <w:sz w:val="22"/>
          <w:szCs w:val="22"/>
        </w:rPr>
        <w:t xml:space="preserve">neapibrėžtas, </w:t>
      </w:r>
      <w:r w:rsidR="00F91BF9" w:rsidRPr="005A084C">
        <w:rPr>
          <w:sz w:val="22"/>
          <w:szCs w:val="22"/>
        </w:rPr>
        <w:t>nenumatyta galim</w:t>
      </w:r>
      <w:r w:rsidR="002632B6" w:rsidRPr="005A084C">
        <w:rPr>
          <w:sz w:val="22"/>
          <w:szCs w:val="22"/>
        </w:rPr>
        <w:t>ybė pratęsti ar papildyti</w:t>
      </w:r>
      <w:r w:rsidR="009C2282" w:rsidRPr="005A084C">
        <w:rPr>
          <w:sz w:val="22"/>
          <w:szCs w:val="22"/>
        </w:rPr>
        <w:t xml:space="preserve"> </w:t>
      </w:r>
      <w:r w:rsidR="00493BFC" w:rsidRPr="005A084C">
        <w:rPr>
          <w:sz w:val="22"/>
          <w:szCs w:val="22"/>
        </w:rPr>
        <w:t xml:space="preserve">licencijas. </w:t>
      </w:r>
    </w:p>
    <w:p w14:paraId="265937E3" w14:textId="21B120C3" w:rsidR="00F304CE" w:rsidRPr="005A084C" w:rsidRDefault="00900C86" w:rsidP="00510FB0">
      <w:pPr>
        <w:pStyle w:val="prastasiniatinklio"/>
        <w:spacing w:before="0" w:beforeAutospacing="0" w:after="0" w:afterAutospacing="0"/>
        <w:ind w:left="709"/>
        <w:rPr>
          <w:sz w:val="22"/>
          <w:szCs w:val="22"/>
        </w:rPr>
      </w:pPr>
      <w:r w:rsidRPr="005A084C">
        <w:rPr>
          <w:sz w:val="22"/>
          <w:szCs w:val="22"/>
        </w:rPr>
        <w:t xml:space="preserve">  </w:t>
      </w:r>
      <w:r w:rsidR="00E065BF" w:rsidRPr="005A084C">
        <w:rPr>
          <w:rStyle w:val="Grietas"/>
          <w:sz w:val="22"/>
          <w:szCs w:val="22"/>
        </w:rPr>
        <w:t>3</w:t>
      </w:r>
      <w:r w:rsidRPr="005A084C">
        <w:rPr>
          <w:rStyle w:val="Grietas"/>
          <w:sz w:val="22"/>
          <w:szCs w:val="22"/>
        </w:rPr>
        <w:t xml:space="preserve"> balai.</w:t>
      </w:r>
      <w:r w:rsidRPr="005A084C">
        <w:rPr>
          <w:sz w:val="22"/>
          <w:szCs w:val="22"/>
        </w:rPr>
        <w:br/>
      </w:r>
      <w:r w:rsidR="00E065BF" w:rsidRPr="005A084C">
        <w:rPr>
          <w:sz w:val="22"/>
          <w:szCs w:val="22"/>
        </w:rPr>
        <w:t>Plečiamumas aprašytas</w:t>
      </w:r>
      <w:r w:rsidR="00CC7E8E" w:rsidRPr="005A084C">
        <w:rPr>
          <w:sz w:val="22"/>
          <w:szCs w:val="22"/>
        </w:rPr>
        <w:t xml:space="preserve"> daliai reikalavimų ar</w:t>
      </w:r>
      <w:r w:rsidR="00E065BF" w:rsidRPr="005A084C">
        <w:rPr>
          <w:sz w:val="22"/>
          <w:szCs w:val="22"/>
        </w:rPr>
        <w:t xml:space="preserve"> be technini</w:t>
      </w:r>
      <w:r w:rsidR="00B3338C" w:rsidRPr="005A084C">
        <w:rPr>
          <w:sz w:val="22"/>
          <w:szCs w:val="22"/>
        </w:rPr>
        <w:t>o</w:t>
      </w:r>
      <w:r w:rsidR="00E065BF" w:rsidRPr="005A084C">
        <w:rPr>
          <w:sz w:val="22"/>
          <w:szCs w:val="22"/>
        </w:rPr>
        <w:t xml:space="preserve"> </w:t>
      </w:r>
      <w:r w:rsidR="00B3338C" w:rsidRPr="005A084C">
        <w:rPr>
          <w:sz w:val="22"/>
          <w:szCs w:val="22"/>
        </w:rPr>
        <w:t>pagrindimo</w:t>
      </w:r>
      <w:r w:rsidR="00E065BF" w:rsidRPr="005A084C">
        <w:rPr>
          <w:sz w:val="22"/>
          <w:szCs w:val="22"/>
        </w:rPr>
        <w:t xml:space="preserve">. Architektūra pateikta tik </w:t>
      </w:r>
      <w:r w:rsidR="00E065BF" w:rsidRPr="005A084C">
        <w:rPr>
          <w:sz w:val="22"/>
          <w:szCs w:val="22"/>
        </w:rPr>
        <w:lastRenderedPageBreak/>
        <w:t xml:space="preserve">aukšto lygio schemoje, neatskleidžiant komponentų </w:t>
      </w:r>
      <w:r w:rsidR="00332729" w:rsidRPr="005A084C">
        <w:rPr>
          <w:sz w:val="22"/>
          <w:szCs w:val="22"/>
        </w:rPr>
        <w:t xml:space="preserve">ar jų </w:t>
      </w:r>
      <w:r w:rsidR="00E065BF" w:rsidRPr="005A084C">
        <w:rPr>
          <w:sz w:val="22"/>
          <w:szCs w:val="22"/>
        </w:rPr>
        <w:t xml:space="preserve">sąveikos. Licencijavimo modelis </w:t>
      </w:r>
      <w:r w:rsidR="002758CF" w:rsidRPr="005A084C">
        <w:rPr>
          <w:sz w:val="22"/>
          <w:szCs w:val="22"/>
        </w:rPr>
        <w:t xml:space="preserve">klaidinantis </w:t>
      </w:r>
      <w:r w:rsidR="00E065BF" w:rsidRPr="005A084C">
        <w:rPr>
          <w:sz w:val="22"/>
          <w:szCs w:val="22"/>
        </w:rPr>
        <w:t>arba ribojantis</w:t>
      </w:r>
      <w:r w:rsidR="00F304CE" w:rsidRPr="005A084C">
        <w:rPr>
          <w:sz w:val="22"/>
          <w:szCs w:val="22"/>
        </w:rPr>
        <w:t>. Sistema priklausoma nuo patentuotų konkretaus gamintojo technologijų</w:t>
      </w:r>
      <w:r w:rsidR="00B3338C" w:rsidRPr="005A084C">
        <w:rPr>
          <w:sz w:val="22"/>
          <w:szCs w:val="22"/>
        </w:rPr>
        <w:t>.</w:t>
      </w:r>
    </w:p>
    <w:p w14:paraId="55EFF52D" w14:textId="0BF431A3" w:rsidR="00900C86" w:rsidRPr="005A084C" w:rsidRDefault="00900C86" w:rsidP="00510FB0">
      <w:pPr>
        <w:pStyle w:val="prastasiniatinklio"/>
        <w:spacing w:before="0" w:beforeAutospacing="0" w:after="0" w:afterAutospacing="0"/>
        <w:ind w:left="709"/>
        <w:rPr>
          <w:sz w:val="22"/>
          <w:szCs w:val="22"/>
        </w:rPr>
      </w:pPr>
      <w:r w:rsidRPr="005A084C">
        <w:rPr>
          <w:sz w:val="22"/>
          <w:szCs w:val="22"/>
        </w:rPr>
        <w:t xml:space="preserve">  </w:t>
      </w:r>
      <w:r w:rsidR="00F304CE" w:rsidRPr="005A084C">
        <w:rPr>
          <w:rStyle w:val="Grietas"/>
          <w:sz w:val="22"/>
          <w:szCs w:val="22"/>
        </w:rPr>
        <w:t>7</w:t>
      </w:r>
      <w:r w:rsidRPr="005A084C">
        <w:rPr>
          <w:rStyle w:val="Grietas"/>
          <w:sz w:val="22"/>
          <w:szCs w:val="22"/>
        </w:rPr>
        <w:t xml:space="preserve"> balai.</w:t>
      </w:r>
      <w:r w:rsidRPr="005A084C">
        <w:rPr>
          <w:sz w:val="22"/>
          <w:szCs w:val="22"/>
        </w:rPr>
        <w:br/>
      </w:r>
      <w:r w:rsidR="00F304CE" w:rsidRPr="005A084C">
        <w:rPr>
          <w:sz w:val="22"/>
          <w:szCs w:val="22"/>
        </w:rPr>
        <w:t xml:space="preserve">Plečiamumas aprašytas </w:t>
      </w:r>
      <w:r w:rsidR="00CC7E8E" w:rsidRPr="005A084C">
        <w:rPr>
          <w:sz w:val="22"/>
          <w:szCs w:val="22"/>
        </w:rPr>
        <w:t>visiems reikalavimams</w:t>
      </w:r>
      <w:r w:rsidR="00F304CE" w:rsidRPr="005A084C">
        <w:rPr>
          <w:sz w:val="22"/>
          <w:szCs w:val="22"/>
        </w:rPr>
        <w:t xml:space="preserve">. Architektūra apibrėžta ir suprantama, tačiau ne visi komponentų ryšiai ir techniniai aspektai atskleisti detaliai. Licencijavimo modelis aiškus ir leidžiantis naudoti bei plėsti sprendimą, tačiau </w:t>
      </w:r>
      <w:r w:rsidR="00D062ED" w:rsidRPr="005A084C">
        <w:rPr>
          <w:sz w:val="22"/>
          <w:szCs w:val="22"/>
        </w:rPr>
        <w:t>yra</w:t>
      </w:r>
      <w:r w:rsidR="00F304CE" w:rsidRPr="005A084C">
        <w:rPr>
          <w:sz w:val="22"/>
          <w:szCs w:val="22"/>
        </w:rPr>
        <w:t xml:space="preserve"> ribojim</w:t>
      </w:r>
      <w:r w:rsidR="00D062ED" w:rsidRPr="005A084C">
        <w:rPr>
          <w:sz w:val="22"/>
          <w:szCs w:val="22"/>
        </w:rPr>
        <w:t>ų</w:t>
      </w:r>
      <w:r w:rsidR="00F304CE" w:rsidRPr="005A084C">
        <w:rPr>
          <w:sz w:val="22"/>
          <w:szCs w:val="22"/>
        </w:rPr>
        <w:t xml:space="preserve"> gal</w:t>
      </w:r>
      <w:r w:rsidR="00D062ED" w:rsidRPr="005A084C">
        <w:rPr>
          <w:sz w:val="22"/>
          <w:szCs w:val="22"/>
        </w:rPr>
        <w:t>inčių</w:t>
      </w:r>
      <w:r w:rsidR="00F304CE" w:rsidRPr="005A084C">
        <w:rPr>
          <w:sz w:val="22"/>
          <w:szCs w:val="22"/>
        </w:rPr>
        <w:t xml:space="preserve"> mažinti lankstumą.</w:t>
      </w:r>
    </w:p>
    <w:p w14:paraId="4632D64C" w14:textId="33D87626" w:rsidR="00900C86" w:rsidRPr="005A084C" w:rsidRDefault="00900C86" w:rsidP="00510FB0">
      <w:pPr>
        <w:pStyle w:val="prastasiniatinklio"/>
        <w:spacing w:before="0" w:beforeAutospacing="0" w:after="0" w:afterAutospacing="0"/>
        <w:ind w:left="709"/>
        <w:rPr>
          <w:sz w:val="22"/>
          <w:szCs w:val="22"/>
        </w:rPr>
      </w:pPr>
      <w:r w:rsidRPr="005A084C">
        <w:rPr>
          <w:sz w:val="22"/>
          <w:szCs w:val="22"/>
        </w:rPr>
        <w:t xml:space="preserve">  </w:t>
      </w:r>
      <w:r w:rsidRPr="005A084C">
        <w:rPr>
          <w:rStyle w:val="Grietas"/>
          <w:sz w:val="22"/>
          <w:szCs w:val="22"/>
        </w:rPr>
        <w:t>10 balų (labai gerai).</w:t>
      </w:r>
      <w:r w:rsidRPr="005A084C">
        <w:rPr>
          <w:sz w:val="22"/>
          <w:szCs w:val="22"/>
        </w:rPr>
        <w:br/>
      </w:r>
      <w:r w:rsidR="007466D6" w:rsidRPr="005A084C">
        <w:rPr>
          <w:sz w:val="22"/>
          <w:szCs w:val="22"/>
        </w:rPr>
        <w:t xml:space="preserve">Plečiamumas aprašytas detaliai, pagrįstas aiškiais scenarijais ir </w:t>
      </w:r>
      <w:r w:rsidR="00557C04" w:rsidRPr="005A084C">
        <w:rPr>
          <w:sz w:val="22"/>
          <w:szCs w:val="22"/>
        </w:rPr>
        <w:t>konkrečiais sprendimais</w:t>
      </w:r>
      <w:r w:rsidR="007466D6" w:rsidRPr="005A084C">
        <w:rPr>
          <w:sz w:val="22"/>
          <w:szCs w:val="22"/>
        </w:rPr>
        <w:t xml:space="preserve">. Architektūra </w:t>
      </w:r>
      <w:r w:rsidR="00FE4B3B" w:rsidRPr="005A084C">
        <w:rPr>
          <w:sz w:val="22"/>
          <w:szCs w:val="22"/>
        </w:rPr>
        <w:t xml:space="preserve">aprašyta </w:t>
      </w:r>
      <w:r w:rsidR="007466D6" w:rsidRPr="005A084C">
        <w:rPr>
          <w:sz w:val="22"/>
          <w:szCs w:val="22"/>
        </w:rPr>
        <w:t xml:space="preserve">išsamiai ir </w:t>
      </w:r>
      <w:r w:rsidR="00FE4B3B" w:rsidRPr="005A084C">
        <w:rPr>
          <w:sz w:val="22"/>
          <w:szCs w:val="22"/>
        </w:rPr>
        <w:t xml:space="preserve">detaliai </w:t>
      </w:r>
      <w:r w:rsidR="007466D6" w:rsidRPr="005A084C">
        <w:rPr>
          <w:sz w:val="22"/>
          <w:szCs w:val="22"/>
        </w:rPr>
        <w:t xml:space="preserve">pagrįsta, parodant komponentų ryšius bei ateities plėtros galimybes. Licencijavimo modelis </w:t>
      </w:r>
      <w:r w:rsidR="00246BD2" w:rsidRPr="005A084C">
        <w:rPr>
          <w:sz w:val="22"/>
          <w:szCs w:val="22"/>
        </w:rPr>
        <w:t xml:space="preserve">detaliai </w:t>
      </w:r>
      <w:r w:rsidR="007466D6" w:rsidRPr="005A084C">
        <w:rPr>
          <w:sz w:val="22"/>
          <w:szCs w:val="22"/>
        </w:rPr>
        <w:t>aprašytas, visiškai aiškus ir nesuvaržantis.</w:t>
      </w:r>
    </w:p>
    <w:p w14:paraId="4CC19BC8" w14:textId="1534B934" w:rsidR="008F01FD" w:rsidRPr="005A084C" w:rsidRDefault="008F01FD" w:rsidP="00AC6BF7">
      <w:pPr>
        <w:pStyle w:val="Sraopastraipa"/>
        <w:keepNext/>
        <w:keepLines/>
        <w:numPr>
          <w:ilvl w:val="1"/>
          <w:numId w:val="2"/>
        </w:numPr>
        <w:spacing w:before="240" w:after="360" w:line="240" w:lineRule="auto"/>
        <w:ind w:right="29"/>
        <w:jc w:val="both"/>
        <w:outlineLvl w:val="1"/>
        <w:rPr>
          <w:rFonts w:ascii="Times New Roman" w:eastAsia="Times New Roman" w:hAnsi="Times New Roman" w:cs="Times New Roman"/>
          <w:i/>
          <w:iCs/>
          <w:lang w:eastAsia="lt-LT"/>
        </w:rPr>
      </w:pPr>
      <w:r w:rsidRPr="005A084C">
        <w:rPr>
          <w:rFonts w:ascii="Times New Roman" w:eastAsia="Times New Roman" w:hAnsi="Times New Roman" w:cs="Times New Roman"/>
          <w:i/>
          <w:iCs/>
          <w:lang w:eastAsia="lt-LT"/>
        </w:rPr>
        <w:t>Kriterijus „Sistemos funkcionalumas, naudojimo paprastumas ir patogumas“ parametras (</w:t>
      </w:r>
      <w:r w:rsidR="00DD019C" w:rsidRPr="005A084C">
        <w:rPr>
          <w:rFonts w:ascii="Times New Roman" w:eastAsia="Times New Roman" w:hAnsi="Times New Roman" w:cs="Times New Roman"/>
          <w:i/>
          <w:iCs/>
          <w:lang w:eastAsia="lt-LT"/>
        </w:rPr>
        <w:t>T</w:t>
      </w:r>
      <w:r w:rsidRPr="005A084C">
        <w:rPr>
          <w:rFonts w:ascii="Times New Roman" w:eastAsia="Times New Roman" w:hAnsi="Times New Roman" w:cs="Times New Roman"/>
          <w:i/>
          <w:iCs/>
          <w:vertAlign w:val="subscript"/>
          <w:lang w:eastAsia="lt-LT"/>
        </w:rPr>
        <w:t>2</w:t>
      </w:r>
      <w:r w:rsidRPr="005A084C">
        <w:rPr>
          <w:rFonts w:ascii="Times New Roman" w:eastAsia="Times New Roman" w:hAnsi="Times New Roman" w:cs="Times New Roman"/>
          <w:i/>
          <w:iCs/>
          <w:lang w:eastAsia="lt-LT"/>
        </w:rPr>
        <w:t xml:space="preserve">), </w:t>
      </w:r>
    </w:p>
    <w:p w14:paraId="3A4539A9" w14:textId="1D75896E" w:rsidR="002201AD" w:rsidRPr="005A084C" w:rsidRDefault="002201AD" w:rsidP="00510FB0">
      <w:pPr>
        <w:pStyle w:val="prastasiniatinklio"/>
        <w:spacing w:before="0" w:beforeAutospacing="0" w:after="0" w:afterAutospacing="0"/>
        <w:ind w:left="709"/>
        <w:rPr>
          <w:sz w:val="22"/>
          <w:szCs w:val="22"/>
        </w:rPr>
      </w:pPr>
      <w:r w:rsidRPr="005A084C">
        <w:rPr>
          <w:sz w:val="22"/>
          <w:szCs w:val="22"/>
        </w:rPr>
        <w:t xml:space="preserve">  </w:t>
      </w:r>
      <w:r w:rsidRPr="005A084C">
        <w:rPr>
          <w:rStyle w:val="Grietas"/>
          <w:sz w:val="22"/>
          <w:szCs w:val="22"/>
        </w:rPr>
        <w:t>0 balų (silpnai).</w:t>
      </w:r>
      <w:r w:rsidRPr="005A084C">
        <w:rPr>
          <w:sz w:val="22"/>
          <w:szCs w:val="22"/>
        </w:rPr>
        <w:br/>
      </w:r>
      <w:r w:rsidR="006418E3" w:rsidRPr="005A084C">
        <w:rPr>
          <w:sz w:val="22"/>
          <w:szCs w:val="22"/>
        </w:rPr>
        <w:t>Sprendimas nėra orientuotas į naudotoją. Funkcijų aprašymas fragmentiškas arba jų visai nepateikta. Nėra naudotojo sąsajos modelio ar vizualizacijos. Neaprašyta, kaip sistema veiks naudotojų asmeniniuose įrenginiuose.</w:t>
      </w:r>
    </w:p>
    <w:p w14:paraId="0CC1D2A7" w14:textId="77D760DD" w:rsidR="002201AD" w:rsidRPr="005A084C" w:rsidRDefault="002201AD" w:rsidP="00510FB0">
      <w:pPr>
        <w:pStyle w:val="prastasiniatinklio"/>
        <w:spacing w:before="0" w:beforeAutospacing="0" w:after="0" w:afterAutospacing="0"/>
        <w:ind w:left="709"/>
        <w:rPr>
          <w:sz w:val="22"/>
          <w:szCs w:val="22"/>
        </w:rPr>
      </w:pPr>
      <w:r w:rsidRPr="005A084C">
        <w:rPr>
          <w:sz w:val="22"/>
          <w:szCs w:val="22"/>
        </w:rPr>
        <w:t xml:space="preserve">  </w:t>
      </w:r>
      <w:r w:rsidRPr="005A084C">
        <w:rPr>
          <w:rStyle w:val="Grietas"/>
          <w:sz w:val="22"/>
          <w:szCs w:val="22"/>
        </w:rPr>
        <w:t>3 balai.</w:t>
      </w:r>
      <w:r w:rsidRPr="005A084C">
        <w:rPr>
          <w:sz w:val="22"/>
          <w:szCs w:val="22"/>
        </w:rPr>
        <w:br/>
      </w:r>
      <w:r w:rsidR="00B52049" w:rsidRPr="005A084C">
        <w:rPr>
          <w:sz w:val="22"/>
          <w:szCs w:val="22"/>
        </w:rPr>
        <w:t>Sistemos funkcij</w:t>
      </w:r>
      <w:r w:rsidR="002C73A2" w:rsidRPr="005A084C">
        <w:rPr>
          <w:sz w:val="22"/>
          <w:szCs w:val="22"/>
        </w:rPr>
        <w:t>ų</w:t>
      </w:r>
      <w:r w:rsidR="00B52049" w:rsidRPr="005A084C">
        <w:rPr>
          <w:sz w:val="22"/>
          <w:szCs w:val="22"/>
        </w:rPr>
        <w:t xml:space="preserve"> aprašy</w:t>
      </w:r>
      <w:r w:rsidR="002C73A2" w:rsidRPr="005A084C">
        <w:rPr>
          <w:sz w:val="22"/>
          <w:szCs w:val="22"/>
        </w:rPr>
        <w:t>me</w:t>
      </w:r>
      <w:r w:rsidR="00B52049" w:rsidRPr="005A084C">
        <w:rPr>
          <w:sz w:val="22"/>
          <w:szCs w:val="22"/>
        </w:rPr>
        <w:t xml:space="preserve"> trūksta ryšio su naudotojų poreikiais. Naudotojo sąsaja pateikta </w:t>
      </w:r>
      <w:r w:rsidR="00453335" w:rsidRPr="005A084C">
        <w:rPr>
          <w:sz w:val="22"/>
          <w:szCs w:val="22"/>
        </w:rPr>
        <w:t>daliai funkcijų</w:t>
      </w:r>
      <w:r w:rsidR="00B52049" w:rsidRPr="005A084C">
        <w:rPr>
          <w:sz w:val="22"/>
          <w:szCs w:val="22"/>
        </w:rPr>
        <w:t xml:space="preserve">, </w:t>
      </w:r>
      <w:r w:rsidR="00453335" w:rsidRPr="005A084C">
        <w:rPr>
          <w:sz w:val="22"/>
          <w:szCs w:val="22"/>
        </w:rPr>
        <w:t xml:space="preserve">neatliktas </w:t>
      </w:r>
      <w:r w:rsidR="00B52049" w:rsidRPr="005A084C">
        <w:rPr>
          <w:sz w:val="22"/>
          <w:szCs w:val="22"/>
        </w:rPr>
        <w:t>patogum</w:t>
      </w:r>
      <w:r w:rsidR="00453335" w:rsidRPr="005A084C">
        <w:rPr>
          <w:sz w:val="22"/>
          <w:szCs w:val="22"/>
        </w:rPr>
        <w:t>o vertinimas</w:t>
      </w:r>
      <w:r w:rsidR="00B52049" w:rsidRPr="005A084C">
        <w:rPr>
          <w:sz w:val="22"/>
          <w:szCs w:val="22"/>
        </w:rPr>
        <w:t>. Naudojimo asmeniniuose įrenginiuose aspektai aptarti tik paviršutiniškai.</w:t>
      </w:r>
    </w:p>
    <w:p w14:paraId="02BB045F" w14:textId="49C296C4" w:rsidR="002201AD" w:rsidRPr="005A084C" w:rsidRDefault="002201AD" w:rsidP="00510FB0">
      <w:pPr>
        <w:pStyle w:val="prastasiniatinklio"/>
        <w:spacing w:before="0" w:beforeAutospacing="0" w:after="0" w:afterAutospacing="0"/>
        <w:ind w:left="709"/>
        <w:rPr>
          <w:sz w:val="22"/>
          <w:szCs w:val="22"/>
        </w:rPr>
      </w:pPr>
      <w:r w:rsidRPr="005A084C">
        <w:rPr>
          <w:sz w:val="22"/>
          <w:szCs w:val="22"/>
        </w:rPr>
        <w:t xml:space="preserve">  </w:t>
      </w:r>
      <w:r w:rsidR="00131C4D" w:rsidRPr="005A084C">
        <w:rPr>
          <w:rStyle w:val="Grietas"/>
          <w:sz w:val="22"/>
          <w:szCs w:val="22"/>
        </w:rPr>
        <w:t>7</w:t>
      </w:r>
      <w:r w:rsidRPr="005A084C">
        <w:rPr>
          <w:rStyle w:val="Grietas"/>
          <w:sz w:val="22"/>
          <w:szCs w:val="22"/>
        </w:rPr>
        <w:t xml:space="preserve"> balai.</w:t>
      </w:r>
      <w:r w:rsidRPr="005A084C">
        <w:rPr>
          <w:sz w:val="22"/>
          <w:szCs w:val="22"/>
        </w:rPr>
        <w:br/>
      </w:r>
      <w:r w:rsidR="003275D8" w:rsidRPr="005A084C">
        <w:rPr>
          <w:sz w:val="22"/>
          <w:szCs w:val="22"/>
        </w:rPr>
        <w:t xml:space="preserve">Sistemos funkcionalumas aprašytas </w:t>
      </w:r>
      <w:r w:rsidR="00F93D14" w:rsidRPr="005A084C">
        <w:rPr>
          <w:sz w:val="22"/>
          <w:szCs w:val="22"/>
        </w:rPr>
        <w:t>visiems reikalavimams</w:t>
      </w:r>
      <w:r w:rsidR="003275D8" w:rsidRPr="005A084C">
        <w:rPr>
          <w:sz w:val="22"/>
          <w:szCs w:val="22"/>
        </w:rPr>
        <w:t>. Naudotojo sąsaja aiški, tačiau tik iš dalies pabrėžiamas intuityvumas ar naudojimo klaidų prevencija. Atsižvelgta į naudojimą asmeniniuose įrenginiuose.</w:t>
      </w:r>
    </w:p>
    <w:p w14:paraId="3F620D18" w14:textId="5F54D939" w:rsidR="00131C4D" w:rsidRPr="005A084C" w:rsidRDefault="002201AD" w:rsidP="00510FB0">
      <w:pPr>
        <w:pStyle w:val="prastasiniatinklio"/>
        <w:spacing w:before="0" w:beforeAutospacing="0" w:after="0" w:afterAutospacing="0"/>
        <w:ind w:left="720"/>
        <w:rPr>
          <w:sz w:val="22"/>
          <w:szCs w:val="22"/>
        </w:rPr>
      </w:pPr>
      <w:r w:rsidRPr="005A084C">
        <w:rPr>
          <w:sz w:val="22"/>
          <w:szCs w:val="22"/>
        </w:rPr>
        <w:t xml:space="preserve">  </w:t>
      </w:r>
      <w:r w:rsidRPr="005A084C">
        <w:rPr>
          <w:rStyle w:val="Grietas"/>
          <w:sz w:val="22"/>
          <w:szCs w:val="22"/>
        </w:rPr>
        <w:t>10 balų (labai gerai).</w:t>
      </w:r>
      <w:r w:rsidRPr="005A084C">
        <w:rPr>
          <w:sz w:val="22"/>
          <w:szCs w:val="22"/>
        </w:rPr>
        <w:br/>
      </w:r>
      <w:r w:rsidR="00131C4D" w:rsidRPr="005A084C">
        <w:rPr>
          <w:sz w:val="22"/>
          <w:szCs w:val="22"/>
        </w:rPr>
        <w:t>Sprendimas orientuotas į naudotojo poreikius ir Perkančiosios organizacijos specifiką. Pateiktas išsamus funkcijų ir papildomų galimybių aprašymas. Naudotojo sąsaja intuityvi, patogi, padedanti taupyti laiką ir užtikrinanti klaidų prevenciją. Sistemos naudojimas asmeniniuose įrenginiuose aprašytas kaip sklandus ir visiškai integruotas.</w:t>
      </w:r>
    </w:p>
    <w:p w14:paraId="3598B7EA" w14:textId="16912AF1" w:rsidR="008F01FD" w:rsidRPr="005A084C" w:rsidRDefault="008F01FD" w:rsidP="00741968">
      <w:pPr>
        <w:pStyle w:val="Sraopastraipa"/>
        <w:keepNext/>
        <w:keepLines/>
        <w:numPr>
          <w:ilvl w:val="1"/>
          <w:numId w:val="2"/>
        </w:numPr>
        <w:spacing w:before="240" w:after="360" w:line="240" w:lineRule="auto"/>
        <w:jc w:val="both"/>
        <w:outlineLvl w:val="1"/>
        <w:rPr>
          <w:rFonts w:ascii="Times New Roman" w:eastAsia="Times New Roman" w:hAnsi="Times New Roman" w:cs="Times New Roman"/>
          <w:i/>
          <w:iCs/>
          <w:lang w:eastAsia="lt-LT"/>
        </w:rPr>
      </w:pPr>
      <w:r w:rsidRPr="005A084C">
        <w:rPr>
          <w:rFonts w:ascii="Times New Roman" w:eastAsia="Times New Roman" w:hAnsi="Times New Roman" w:cs="Times New Roman"/>
          <w:i/>
          <w:iCs/>
          <w:lang w:eastAsia="lt-LT"/>
        </w:rPr>
        <w:t>Kriterijus „Paslaugų teikimo strategija ir pasiūlymo įgyvendinamumas“ parametras (</w:t>
      </w:r>
      <w:r w:rsidR="00DD019C" w:rsidRPr="005A084C">
        <w:rPr>
          <w:rFonts w:ascii="Times New Roman" w:eastAsia="Times New Roman" w:hAnsi="Times New Roman" w:cs="Times New Roman"/>
          <w:i/>
          <w:iCs/>
          <w:lang w:eastAsia="lt-LT"/>
        </w:rPr>
        <w:t>T</w:t>
      </w:r>
      <w:r w:rsidRPr="005A084C">
        <w:rPr>
          <w:rFonts w:ascii="Times New Roman" w:eastAsia="Times New Roman" w:hAnsi="Times New Roman" w:cs="Times New Roman"/>
          <w:i/>
          <w:iCs/>
          <w:vertAlign w:val="subscript"/>
          <w:lang w:eastAsia="lt-LT"/>
        </w:rPr>
        <w:t>3</w:t>
      </w:r>
      <w:r w:rsidRPr="005A084C">
        <w:rPr>
          <w:rFonts w:ascii="Times New Roman" w:eastAsia="Times New Roman" w:hAnsi="Times New Roman" w:cs="Times New Roman"/>
          <w:i/>
          <w:iCs/>
          <w:lang w:eastAsia="lt-LT"/>
        </w:rPr>
        <w:t xml:space="preserve">) </w:t>
      </w:r>
    </w:p>
    <w:p w14:paraId="2F77F249" w14:textId="3F3FCDB6" w:rsidR="00A00599" w:rsidRPr="005A084C" w:rsidRDefault="00C8206A" w:rsidP="00B96056">
      <w:pPr>
        <w:pStyle w:val="prastasiniatinklio"/>
        <w:numPr>
          <w:ilvl w:val="0"/>
          <w:numId w:val="9"/>
        </w:numPr>
        <w:ind w:left="709" w:firstLine="0"/>
        <w:rPr>
          <w:sz w:val="22"/>
          <w:szCs w:val="22"/>
        </w:rPr>
      </w:pPr>
      <w:r w:rsidRPr="005A084C">
        <w:rPr>
          <w:rStyle w:val="Grietas"/>
          <w:sz w:val="22"/>
          <w:szCs w:val="22"/>
        </w:rPr>
        <w:t>0 balų (silpnai).</w:t>
      </w:r>
      <w:r w:rsidRPr="005A084C">
        <w:rPr>
          <w:rStyle w:val="Grietas"/>
          <w:sz w:val="22"/>
          <w:szCs w:val="22"/>
        </w:rPr>
        <w:br/>
      </w:r>
      <w:r w:rsidR="000212E1" w:rsidRPr="005A084C">
        <w:rPr>
          <w:sz w:val="22"/>
          <w:szCs w:val="22"/>
        </w:rPr>
        <w:t>Projekto tikslai pateikti fragmentiškai, jų ryšys su siūlomais sprendimais neaiškus. Įgyvendinimo metodologija neaprašyta. Darbų planas nesistemingas, laiko sąnaudos neįvertintos. Rizikos analizė</w:t>
      </w:r>
      <w:r w:rsidR="00F43543" w:rsidRPr="005A084C">
        <w:rPr>
          <w:sz w:val="22"/>
          <w:szCs w:val="22"/>
        </w:rPr>
        <w:t>s nėra pateikta</w:t>
      </w:r>
      <w:r w:rsidR="000212E1" w:rsidRPr="005A084C">
        <w:rPr>
          <w:sz w:val="22"/>
          <w:szCs w:val="22"/>
        </w:rPr>
        <w:t>.</w:t>
      </w:r>
    </w:p>
    <w:p w14:paraId="5E7E1A40" w14:textId="3BF68710" w:rsidR="00C2585D" w:rsidRPr="005A084C" w:rsidRDefault="00C8206A" w:rsidP="00C2585D">
      <w:pPr>
        <w:pStyle w:val="prastasiniatinklio"/>
        <w:numPr>
          <w:ilvl w:val="0"/>
          <w:numId w:val="9"/>
        </w:numPr>
        <w:ind w:left="709" w:firstLine="0"/>
        <w:rPr>
          <w:sz w:val="22"/>
          <w:szCs w:val="22"/>
        </w:rPr>
      </w:pPr>
      <w:r w:rsidRPr="005A084C">
        <w:rPr>
          <w:rStyle w:val="Grietas"/>
          <w:sz w:val="22"/>
          <w:szCs w:val="22"/>
        </w:rPr>
        <w:t>3 balai.</w:t>
      </w:r>
      <w:r w:rsidRPr="005A084C">
        <w:rPr>
          <w:rStyle w:val="Grietas"/>
          <w:sz w:val="22"/>
          <w:szCs w:val="22"/>
        </w:rPr>
        <w:br/>
      </w:r>
      <w:r w:rsidR="001E0415" w:rsidRPr="005A084C">
        <w:rPr>
          <w:sz w:val="22"/>
          <w:szCs w:val="22"/>
        </w:rPr>
        <w:t xml:space="preserve">Projekto tikslai aprašyti </w:t>
      </w:r>
      <w:r w:rsidR="00F03537" w:rsidRPr="005A084C">
        <w:rPr>
          <w:sz w:val="22"/>
          <w:szCs w:val="22"/>
        </w:rPr>
        <w:t>formaliai</w:t>
      </w:r>
      <w:r w:rsidR="001E0415" w:rsidRPr="005A084C">
        <w:rPr>
          <w:sz w:val="22"/>
          <w:szCs w:val="22"/>
        </w:rPr>
        <w:t xml:space="preserve">, </w:t>
      </w:r>
      <w:r w:rsidR="00B03B64" w:rsidRPr="005A084C">
        <w:rPr>
          <w:sz w:val="22"/>
          <w:szCs w:val="22"/>
        </w:rPr>
        <w:t xml:space="preserve">nėra sąsajos </w:t>
      </w:r>
      <w:r w:rsidR="001E0415" w:rsidRPr="005A084C">
        <w:rPr>
          <w:sz w:val="22"/>
          <w:szCs w:val="22"/>
        </w:rPr>
        <w:t xml:space="preserve">su </w:t>
      </w:r>
      <w:r w:rsidR="00B03B64" w:rsidRPr="005A084C">
        <w:rPr>
          <w:sz w:val="22"/>
          <w:szCs w:val="22"/>
        </w:rPr>
        <w:t xml:space="preserve">siūlomais techniniais </w:t>
      </w:r>
      <w:r w:rsidR="001E0415" w:rsidRPr="005A084C">
        <w:rPr>
          <w:sz w:val="22"/>
          <w:szCs w:val="22"/>
        </w:rPr>
        <w:t xml:space="preserve">sprendimais. Įgyvendinimo metodologija pateikta </w:t>
      </w:r>
      <w:r w:rsidR="00474CEB" w:rsidRPr="005A084C">
        <w:rPr>
          <w:sz w:val="22"/>
          <w:szCs w:val="22"/>
        </w:rPr>
        <w:t>tipinė, nesi</w:t>
      </w:r>
      <w:r w:rsidR="00C70EF1" w:rsidRPr="005A084C">
        <w:rPr>
          <w:sz w:val="22"/>
          <w:szCs w:val="22"/>
        </w:rPr>
        <w:t>e</w:t>
      </w:r>
      <w:r w:rsidR="00474CEB" w:rsidRPr="005A084C">
        <w:rPr>
          <w:sz w:val="22"/>
          <w:szCs w:val="22"/>
        </w:rPr>
        <w:t xml:space="preserve">jant su </w:t>
      </w:r>
      <w:r w:rsidR="00C70EF1" w:rsidRPr="005A084C">
        <w:rPr>
          <w:sz w:val="22"/>
          <w:szCs w:val="22"/>
        </w:rPr>
        <w:t>konkretaus projekto aplinkybėmis</w:t>
      </w:r>
      <w:r w:rsidR="001E0415" w:rsidRPr="005A084C">
        <w:rPr>
          <w:sz w:val="22"/>
          <w:szCs w:val="22"/>
        </w:rPr>
        <w:t xml:space="preserve">. Darbų planas bendras, laiko sąnaudos </w:t>
      </w:r>
      <w:r w:rsidR="00C70EF1" w:rsidRPr="005A084C">
        <w:rPr>
          <w:sz w:val="22"/>
          <w:szCs w:val="22"/>
        </w:rPr>
        <w:t>ne</w:t>
      </w:r>
      <w:r w:rsidR="001E0415" w:rsidRPr="005A084C">
        <w:rPr>
          <w:sz w:val="22"/>
          <w:szCs w:val="22"/>
        </w:rPr>
        <w:t xml:space="preserve">vertintos. Rizikos analizė standartinė, </w:t>
      </w:r>
      <w:r w:rsidR="00F43543" w:rsidRPr="005A084C">
        <w:rPr>
          <w:sz w:val="22"/>
          <w:szCs w:val="22"/>
        </w:rPr>
        <w:t>ne</w:t>
      </w:r>
      <w:r w:rsidR="001E0415" w:rsidRPr="005A084C">
        <w:rPr>
          <w:sz w:val="22"/>
          <w:szCs w:val="22"/>
        </w:rPr>
        <w:t>pritaikyta konkrečioms aplinkybėms.</w:t>
      </w:r>
    </w:p>
    <w:p w14:paraId="7495F412" w14:textId="01791F94" w:rsidR="00C8206A" w:rsidRPr="005A084C" w:rsidRDefault="007C3C7A" w:rsidP="00B96056">
      <w:pPr>
        <w:pStyle w:val="prastasiniatinklio"/>
        <w:numPr>
          <w:ilvl w:val="0"/>
          <w:numId w:val="9"/>
        </w:numPr>
        <w:ind w:left="709" w:firstLine="0"/>
        <w:rPr>
          <w:sz w:val="22"/>
          <w:szCs w:val="22"/>
        </w:rPr>
      </w:pPr>
      <w:r w:rsidRPr="005A084C">
        <w:rPr>
          <w:rStyle w:val="Grietas"/>
          <w:sz w:val="22"/>
          <w:szCs w:val="22"/>
        </w:rPr>
        <w:t>7</w:t>
      </w:r>
      <w:r w:rsidR="00C8206A" w:rsidRPr="005A084C">
        <w:rPr>
          <w:rStyle w:val="Grietas"/>
          <w:sz w:val="22"/>
          <w:szCs w:val="22"/>
        </w:rPr>
        <w:t xml:space="preserve"> balai.</w:t>
      </w:r>
      <w:r w:rsidR="00C8206A" w:rsidRPr="005A084C">
        <w:rPr>
          <w:sz w:val="22"/>
          <w:szCs w:val="22"/>
        </w:rPr>
        <w:br/>
      </w:r>
      <w:r w:rsidR="00B00C86" w:rsidRPr="005A084C">
        <w:rPr>
          <w:sz w:val="22"/>
          <w:szCs w:val="22"/>
        </w:rPr>
        <w:t xml:space="preserve">Projekto tikslai aprašyti aiškiai, parodyta sąsaja su siūlomais sprendimais. Įgyvendinimo metodologija suprantama, siejama su uždaviniais ir rezultatais. Darbų planas detalus, nurodyta darbų seka ir laiko sąnaudos. Rizikos analizė </w:t>
      </w:r>
      <w:r w:rsidR="001B03E3" w:rsidRPr="005A084C">
        <w:rPr>
          <w:sz w:val="22"/>
          <w:szCs w:val="22"/>
        </w:rPr>
        <w:t>pateikta</w:t>
      </w:r>
      <w:r w:rsidR="00B00C86" w:rsidRPr="005A084C">
        <w:rPr>
          <w:sz w:val="22"/>
          <w:szCs w:val="22"/>
        </w:rPr>
        <w:t>, apima dalį laikotarpio po įgyvendinimo.</w:t>
      </w:r>
    </w:p>
    <w:p w14:paraId="730F03D4" w14:textId="5ACDE346" w:rsidR="00C8206A" w:rsidRPr="005A084C" w:rsidRDefault="00C8206A" w:rsidP="00B96056">
      <w:pPr>
        <w:pStyle w:val="prastasiniatinklio"/>
        <w:numPr>
          <w:ilvl w:val="0"/>
          <w:numId w:val="9"/>
        </w:numPr>
        <w:ind w:left="709" w:firstLine="0"/>
        <w:rPr>
          <w:sz w:val="22"/>
          <w:szCs w:val="22"/>
        </w:rPr>
      </w:pPr>
      <w:r w:rsidRPr="005A084C">
        <w:rPr>
          <w:rStyle w:val="Grietas"/>
          <w:sz w:val="22"/>
          <w:szCs w:val="22"/>
        </w:rPr>
        <w:t>10 balų (labai gerai).</w:t>
      </w:r>
      <w:r w:rsidRPr="005A084C">
        <w:rPr>
          <w:sz w:val="22"/>
          <w:szCs w:val="22"/>
        </w:rPr>
        <w:br/>
      </w:r>
      <w:r w:rsidR="00822CE0" w:rsidRPr="005A084C">
        <w:rPr>
          <w:sz w:val="22"/>
          <w:szCs w:val="22"/>
        </w:rPr>
        <w:t>Pasiūlyme pateikta išsami projekto tikslų analizė. Metodologija aiški, orientuota į rezultatus. Darbų planas nuoseklus, optimizuojantis resursų panaudojimą, numatytos alternatyvos galimiems trikdžiams. Rizikos analizė išsami, apimanti visą projekto ciklą ir tęstinumą po įgyvendinimo</w:t>
      </w:r>
      <w:r w:rsidRPr="005A084C">
        <w:rPr>
          <w:sz w:val="22"/>
          <w:szCs w:val="22"/>
        </w:rPr>
        <w:t>.</w:t>
      </w:r>
    </w:p>
    <w:p w14:paraId="28DCDE40" w14:textId="77777777" w:rsidR="00687BF5" w:rsidRPr="005A084C" w:rsidRDefault="00687BF5" w:rsidP="00E1513F">
      <w:pPr>
        <w:jc w:val="both"/>
        <w:rPr>
          <w:rFonts w:ascii="Times New Roman" w:eastAsia="Times New Roman" w:hAnsi="Times New Roman" w:cs="Times New Roman"/>
          <w:lang w:eastAsia="lt-LT"/>
        </w:rPr>
      </w:pPr>
    </w:p>
    <w:p w14:paraId="75A07C23" w14:textId="77777777" w:rsidR="00687BF5" w:rsidRPr="005A084C" w:rsidRDefault="00687BF5" w:rsidP="00E1513F">
      <w:pPr>
        <w:jc w:val="both"/>
        <w:rPr>
          <w:rFonts w:ascii="Times New Roman" w:eastAsia="Times New Roman" w:hAnsi="Times New Roman" w:cs="Times New Roman"/>
          <w:lang w:eastAsia="lt-LT"/>
        </w:rPr>
      </w:pPr>
    </w:p>
    <w:p w14:paraId="3016F5A3" w14:textId="77777777" w:rsidR="00687BF5" w:rsidRPr="005A084C" w:rsidRDefault="00687BF5" w:rsidP="00687BF5">
      <w:pPr>
        <w:numPr>
          <w:ilvl w:val="1"/>
          <w:numId w:val="11"/>
        </w:numPr>
        <w:tabs>
          <w:tab w:val="clear" w:pos="2370"/>
          <w:tab w:val="num" w:pos="567"/>
        </w:tabs>
        <w:jc w:val="both"/>
        <w:rPr>
          <w:rFonts w:ascii="Times New Roman" w:eastAsia="Times New Roman" w:hAnsi="Times New Roman" w:cs="Times New Roman"/>
          <w:lang w:eastAsia="lt-LT"/>
        </w:rPr>
      </w:pPr>
      <w:r w:rsidRPr="005A084C">
        <w:rPr>
          <w:rFonts w:ascii="Times New Roman" w:eastAsia="Times New Roman" w:hAnsi="Times New Roman" w:cs="Times New Roman"/>
          <w:lang w:eastAsia="lt-LT"/>
        </w:rPr>
        <w:t>Ekonominis naudingumas (S) apskaičiuojamas sudedant Tiekėjo pasiūlymo kainos C ir kitų kriterijų balus:</w:t>
      </w:r>
    </w:p>
    <w:p w14:paraId="16887E16" w14:textId="0087A82A" w:rsidR="00687BF5" w:rsidRPr="005A084C" w:rsidRDefault="00687BF5" w:rsidP="00687BF5">
      <w:pPr>
        <w:jc w:val="both"/>
        <w:rPr>
          <w:rFonts w:ascii="Times New Roman" w:eastAsia="Times New Roman" w:hAnsi="Times New Roman" w:cs="Times New Roman"/>
          <w:lang w:val="en-GB" w:eastAsia="lt-LT"/>
        </w:rPr>
      </w:pPr>
      <w:r w:rsidRPr="005A084C">
        <w:rPr>
          <w:rFonts w:ascii="Times New Roman" w:eastAsia="Times New Roman" w:hAnsi="Times New Roman" w:cs="Times New Roman"/>
          <w:lang w:eastAsia="lt-LT"/>
        </w:rPr>
        <w:t xml:space="preserve">                                                                      </w:t>
      </w:r>
      <w:r w:rsidRPr="005A084C">
        <w:rPr>
          <w:rFonts w:ascii="Times New Roman" w:eastAsia="Times New Roman" w:hAnsi="Times New Roman" w:cs="Times New Roman"/>
          <w:lang w:val="en-GB" w:eastAsia="lt-LT"/>
        </w:rPr>
        <w:object w:dxaOrig="1005" w:dyaOrig="270" w14:anchorId="032F8D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3.5pt" o:ole="" fillcolor="window">
            <v:imagedata r:id="rId7" o:title=""/>
          </v:shape>
          <o:OLEObject Type="Embed" ProgID="Equation.3" ShapeID="_x0000_i1025" DrawAspect="Content" ObjectID="_1822456488" r:id="rId8"/>
        </w:object>
      </w:r>
    </w:p>
    <w:p w14:paraId="483B89A9" w14:textId="71D1F454" w:rsidR="00687BF5" w:rsidRPr="005A084C" w:rsidRDefault="00687BF5" w:rsidP="00687BF5">
      <w:pPr>
        <w:numPr>
          <w:ilvl w:val="1"/>
          <w:numId w:val="11"/>
        </w:numPr>
        <w:jc w:val="both"/>
        <w:rPr>
          <w:rFonts w:ascii="Times New Roman" w:eastAsia="Times New Roman" w:hAnsi="Times New Roman" w:cs="Times New Roman"/>
          <w:lang w:eastAsia="lt-LT"/>
        </w:rPr>
      </w:pPr>
      <w:r w:rsidRPr="005A084C">
        <w:rPr>
          <w:rFonts w:ascii="Times New Roman" w:eastAsia="Times New Roman" w:hAnsi="Times New Roman" w:cs="Times New Roman"/>
          <w:lang w:eastAsia="lt-LT"/>
        </w:rPr>
        <w:lastRenderedPageBreak/>
        <w:t>Pasiūlymo kainos (C) balai apskaičiuojami mažiausios pasiūlytos kainos (C</w:t>
      </w:r>
      <w:r w:rsidRPr="005A084C">
        <w:rPr>
          <w:rFonts w:ascii="Times New Roman" w:eastAsia="Times New Roman" w:hAnsi="Times New Roman" w:cs="Times New Roman"/>
          <w:vertAlign w:val="subscript"/>
          <w:lang w:eastAsia="lt-LT"/>
        </w:rPr>
        <w:t>min</w:t>
      </w:r>
      <w:r w:rsidRPr="005A084C">
        <w:rPr>
          <w:rFonts w:ascii="Times New Roman" w:eastAsia="Times New Roman" w:hAnsi="Times New Roman" w:cs="Times New Roman"/>
          <w:lang w:eastAsia="lt-LT"/>
        </w:rPr>
        <w:t>) ir vertinamo pasiūlymo kainos (C</w:t>
      </w:r>
      <w:r w:rsidRPr="005A084C">
        <w:rPr>
          <w:rFonts w:ascii="Times New Roman" w:eastAsia="Times New Roman" w:hAnsi="Times New Roman" w:cs="Times New Roman"/>
          <w:vertAlign w:val="subscript"/>
          <w:lang w:eastAsia="lt-LT"/>
        </w:rPr>
        <w:t>p</w:t>
      </w:r>
      <w:r w:rsidRPr="005A084C">
        <w:rPr>
          <w:rFonts w:ascii="Times New Roman" w:eastAsia="Times New Roman" w:hAnsi="Times New Roman" w:cs="Times New Roman"/>
          <w:lang w:eastAsia="lt-LT"/>
        </w:rPr>
        <w:t>) santykį padauginant iš kainos lyginamojo svorio (X):</w:t>
      </w:r>
    </w:p>
    <w:p w14:paraId="0234DC2A" w14:textId="1E972165" w:rsidR="00687BF5" w:rsidRPr="005A084C" w:rsidRDefault="00687BF5" w:rsidP="00D010F2">
      <w:pPr>
        <w:jc w:val="center"/>
        <w:rPr>
          <w:rFonts w:ascii="Times New Roman" w:eastAsia="Times New Roman" w:hAnsi="Times New Roman" w:cs="Times New Roman"/>
          <w:lang w:eastAsia="lt-LT"/>
        </w:rPr>
      </w:pPr>
      <w:r w:rsidRPr="005A084C">
        <w:rPr>
          <w:rFonts w:ascii="Times New Roman" w:eastAsia="Times New Roman" w:hAnsi="Times New Roman" w:cs="Times New Roman"/>
          <w:lang w:eastAsia="lt-LT"/>
        </w:rPr>
        <w:object w:dxaOrig="1305" w:dyaOrig="720" w14:anchorId="525C6505">
          <v:shape id="_x0000_i1026" type="#_x0000_t75" style="width:65.25pt;height:36pt" o:ole="" fillcolor="window">
            <v:imagedata r:id="rId9" o:title=""/>
          </v:shape>
          <o:OLEObject Type="Embed" ProgID="Equation.3" ShapeID="_x0000_i1026" DrawAspect="Content" ObjectID="_1822456489" r:id="rId10"/>
        </w:object>
      </w:r>
      <w:r w:rsidRPr="005A084C">
        <w:rPr>
          <w:rFonts w:ascii="Times New Roman" w:eastAsia="Times New Roman" w:hAnsi="Times New Roman" w:cs="Times New Roman"/>
          <w:lang w:eastAsia="lt-LT"/>
        </w:rPr>
        <w:t>;</w:t>
      </w:r>
    </w:p>
    <w:p w14:paraId="40EEF200" w14:textId="77777777" w:rsidR="00687BF5" w:rsidRPr="005A084C" w:rsidRDefault="00687BF5" w:rsidP="00687BF5">
      <w:pPr>
        <w:numPr>
          <w:ilvl w:val="1"/>
          <w:numId w:val="11"/>
        </w:numPr>
        <w:jc w:val="both"/>
        <w:rPr>
          <w:rFonts w:ascii="Times New Roman" w:eastAsia="Times New Roman" w:hAnsi="Times New Roman" w:cs="Times New Roman"/>
          <w:lang w:eastAsia="lt-LT"/>
        </w:rPr>
      </w:pPr>
      <w:r w:rsidRPr="005A084C">
        <w:rPr>
          <w:rFonts w:ascii="Times New Roman" w:eastAsia="Times New Roman" w:hAnsi="Times New Roman" w:cs="Times New Roman"/>
          <w:lang w:eastAsia="lt-LT"/>
        </w:rPr>
        <w:t>Kriterijaus T balai apskaičiuojami šio kriterijaus parametrų įvertinimų (T</w:t>
      </w:r>
      <w:r w:rsidRPr="005A084C">
        <w:rPr>
          <w:rFonts w:ascii="Times New Roman" w:eastAsia="Times New Roman" w:hAnsi="Times New Roman" w:cs="Times New Roman"/>
          <w:vertAlign w:val="subscript"/>
          <w:lang w:eastAsia="lt-LT"/>
        </w:rPr>
        <w:t>s</w:t>
      </w:r>
      <w:r w:rsidRPr="005A084C">
        <w:rPr>
          <w:rFonts w:ascii="Times New Roman" w:eastAsia="Times New Roman" w:hAnsi="Times New Roman" w:cs="Times New Roman"/>
          <w:lang w:eastAsia="lt-LT"/>
        </w:rPr>
        <w:t>) sumą padauginant iš vertinamo kriterijaus lyginamojo svorio (Y):</w:t>
      </w:r>
    </w:p>
    <w:p w14:paraId="29C6D36E" w14:textId="70BFC8D3" w:rsidR="00687BF5" w:rsidRPr="005A084C" w:rsidRDefault="002A0ECF" w:rsidP="00D010F2">
      <w:pPr>
        <w:jc w:val="center"/>
        <w:rPr>
          <w:rFonts w:ascii="Times New Roman" w:eastAsia="Times New Roman" w:hAnsi="Times New Roman" w:cs="Times New Roman"/>
          <w:lang w:eastAsia="lt-LT"/>
        </w:rPr>
      </w:pPr>
      <w:r w:rsidRPr="005A084C">
        <w:rPr>
          <w:rFonts w:ascii="Times New Roman" w:eastAsia="Times New Roman" w:hAnsi="Times New Roman" w:cs="Times New Roman"/>
          <w:lang w:eastAsia="lt-LT"/>
        </w:rPr>
        <w:t xml:space="preserve"> </w:t>
      </w:r>
      <w:r w:rsidRPr="005A084C">
        <w:rPr>
          <w:rFonts w:ascii="Times New Roman" w:eastAsia="Times New Roman" w:hAnsi="Times New Roman" w:cs="Times New Roman"/>
          <w:noProof/>
          <w:lang w:eastAsia="lt-LT"/>
        </w:rPr>
        <w:drawing>
          <wp:inline distT="0" distB="0" distL="0" distR="0" wp14:anchorId="77901D54" wp14:editId="7CD73EA5">
            <wp:extent cx="718185" cy="381000"/>
            <wp:effectExtent l="0" t="0" r="5715" b="0"/>
            <wp:docPr id="768510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8185" cy="381000"/>
                    </a:xfrm>
                    <a:prstGeom prst="rect">
                      <a:avLst/>
                    </a:prstGeom>
                    <a:noFill/>
                    <a:ln>
                      <a:noFill/>
                    </a:ln>
                  </pic:spPr>
                </pic:pic>
              </a:graphicData>
            </a:graphic>
          </wp:inline>
        </w:drawing>
      </w:r>
      <w:r w:rsidR="00D80BF6" w:rsidRPr="005A084C">
        <w:rPr>
          <w:rFonts w:ascii="Times New Roman" w:eastAsia="Times New Roman" w:hAnsi="Times New Roman" w:cs="Times New Roman"/>
          <w:lang w:eastAsia="lt-LT"/>
        </w:rPr>
        <w:t>;</w:t>
      </w:r>
    </w:p>
    <w:p w14:paraId="3607E09C" w14:textId="32B38798" w:rsidR="005C6701" w:rsidRPr="005A084C" w:rsidRDefault="005C6701" w:rsidP="005C6701">
      <w:pPr>
        <w:tabs>
          <w:tab w:val="left" w:pos="2268"/>
        </w:tabs>
        <w:ind w:left="1985"/>
        <w:rPr>
          <w:rFonts w:ascii="Times New Roman" w:hAnsi="Times New Roman" w:cs="Times New Roman"/>
        </w:rPr>
      </w:pPr>
      <w:r w:rsidRPr="005A084C">
        <w:rPr>
          <w:rFonts w:ascii="Times New Roman" w:hAnsi="Times New Roman" w:cs="Times New Roman"/>
        </w:rPr>
        <w:t>d.   Kriterijaus T parametrų įvertinimas (Ts) apskaičiuojamas parametro reikšmę (Rp) palyginant su geriausia to paties parametro reikšme (Rmax) ir padauginant iš vertinamo kriterijaus parametro lyginamojo svorio (Ls):</w:t>
      </w:r>
    </w:p>
    <w:p w14:paraId="6740A347" w14:textId="77777777" w:rsidR="005C6701" w:rsidRPr="005A084C" w:rsidRDefault="005C6701" w:rsidP="005C6701">
      <w:pPr>
        <w:rPr>
          <w:rFonts w:ascii="Times New Roman" w:hAnsi="Times New Roman" w:cs="Times New Roman"/>
        </w:rPr>
      </w:pPr>
    </w:p>
    <w:p w14:paraId="7EE64DCB" w14:textId="77777777" w:rsidR="00EF2E9B" w:rsidRPr="005A084C" w:rsidRDefault="005C6701" w:rsidP="00EF2E9B">
      <w:pPr>
        <w:jc w:val="center"/>
        <w:rPr>
          <w:rFonts w:ascii="Times New Roman" w:hAnsi="Times New Roman" w:cs="Times New Roman"/>
        </w:rPr>
      </w:pPr>
      <w:r w:rsidRPr="005A084C">
        <w:rPr>
          <w:rFonts w:ascii="Times New Roman" w:hAnsi="Times New Roman" w:cs="Times New Roman"/>
        </w:rPr>
        <w:object w:dxaOrig="1260" w:dyaOrig="720" w14:anchorId="64413E82">
          <v:shape id="_x0000_i1027" type="#_x0000_t75" style="width:63pt;height:36pt" o:ole="" fillcolor="window">
            <v:imagedata r:id="rId12" o:title=""/>
          </v:shape>
          <o:OLEObject Type="Embed" ProgID="Equation.3" ShapeID="_x0000_i1027" DrawAspect="Content" ObjectID="_1822456490" r:id="rId13"/>
        </w:object>
      </w:r>
      <w:r w:rsidRPr="005A084C">
        <w:rPr>
          <w:rFonts w:ascii="Times New Roman" w:hAnsi="Times New Roman" w:cs="Times New Roman"/>
        </w:rPr>
        <w:t>;</w:t>
      </w:r>
    </w:p>
    <w:p w14:paraId="65548C06" w14:textId="77777777" w:rsidR="00EF2E9B" w:rsidRPr="005A084C" w:rsidRDefault="00EF2E9B" w:rsidP="00EF2E9B">
      <w:pPr>
        <w:rPr>
          <w:rFonts w:ascii="Times New Roman" w:hAnsi="Times New Roman" w:cs="Times New Roman"/>
        </w:rPr>
      </w:pPr>
      <w:r w:rsidRPr="005A084C">
        <w:rPr>
          <w:rFonts w:ascii="Times New Roman" w:hAnsi="Times New Roman" w:cs="Times New Roman"/>
        </w:rPr>
        <w:t>Kriterijaus (T) parametrų (T</w:t>
      </w:r>
      <w:r w:rsidRPr="005A084C">
        <w:rPr>
          <w:rFonts w:ascii="Times New Roman" w:hAnsi="Times New Roman" w:cs="Times New Roman"/>
          <w:vertAlign w:val="subscript"/>
        </w:rPr>
        <w:t>s)</w:t>
      </w:r>
      <w:r w:rsidRPr="005A084C">
        <w:rPr>
          <w:rFonts w:ascii="Times New Roman" w:hAnsi="Times New Roman" w:cs="Times New Roman"/>
        </w:rPr>
        <w:t xml:space="preserve"> reikšmės nustatomos ekspertinio vertinimo būdu.</w:t>
      </w:r>
    </w:p>
    <w:p w14:paraId="4BBADCF4" w14:textId="77777777" w:rsidR="00EF2E9B" w:rsidRPr="005A084C" w:rsidRDefault="00EF2E9B" w:rsidP="00EF2E9B">
      <w:pPr>
        <w:tabs>
          <w:tab w:val="left" w:pos="709"/>
        </w:tabs>
        <w:spacing w:after="0" w:line="240" w:lineRule="auto"/>
        <w:jc w:val="both"/>
        <w:rPr>
          <w:rFonts w:ascii="Times New Roman" w:eastAsia="Calibri" w:hAnsi="Times New Roman" w:cs="Times New Roman"/>
        </w:rPr>
      </w:pPr>
      <w:r w:rsidRPr="005A084C">
        <w:rPr>
          <w:rFonts w:ascii="Times New Roman" w:eastAsia="Calibri" w:hAnsi="Times New Roman" w:cs="Times New Roman"/>
        </w:rPr>
        <w:t>Pirkimą laimi tas teikėjas, kurio pasiūlymas įvertinamas kaip ekonomiškai naudingiausias, t. y. pasiūlymo ekonominio naudingumo (S) balų suma yra didžiausia.</w:t>
      </w:r>
    </w:p>
    <w:p w14:paraId="4C4FDC10" w14:textId="77777777" w:rsidR="00EF2E9B" w:rsidRPr="005A084C" w:rsidRDefault="00EF2E9B" w:rsidP="00EF2E9B">
      <w:pPr>
        <w:pStyle w:val="Sraopastraipa"/>
        <w:tabs>
          <w:tab w:val="left" w:pos="1985"/>
          <w:tab w:val="left" w:pos="2268"/>
        </w:tabs>
        <w:ind w:left="1985"/>
        <w:rPr>
          <w:rFonts w:ascii="Times New Roman" w:hAnsi="Times New Roman" w:cs="Times New Roman"/>
        </w:rPr>
      </w:pPr>
    </w:p>
    <w:p w14:paraId="376C339E" w14:textId="77777777" w:rsidR="00EF2E9B" w:rsidRPr="005A084C" w:rsidRDefault="00EF2E9B" w:rsidP="005C6701">
      <w:pPr>
        <w:tabs>
          <w:tab w:val="left" w:pos="709"/>
        </w:tabs>
        <w:spacing w:after="0" w:line="240" w:lineRule="auto"/>
        <w:jc w:val="both"/>
        <w:rPr>
          <w:rFonts w:ascii="Times New Roman" w:eastAsia="Calibri" w:hAnsi="Times New Roman" w:cs="Times New Roman"/>
        </w:rPr>
      </w:pPr>
    </w:p>
    <w:p w14:paraId="2A9EBC13" w14:textId="0FB30ED5" w:rsidR="005C6701" w:rsidRPr="005A084C" w:rsidRDefault="005C6701" w:rsidP="005C6701">
      <w:pPr>
        <w:tabs>
          <w:tab w:val="left" w:pos="709"/>
        </w:tabs>
        <w:spacing w:after="0" w:line="240" w:lineRule="auto"/>
        <w:jc w:val="both"/>
        <w:rPr>
          <w:rFonts w:ascii="Times New Roman" w:eastAsia="Calibri" w:hAnsi="Times New Roman" w:cs="Times New Roman"/>
        </w:rPr>
      </w:pPr>
      <w:r w:rsidRPr="005A084C">
        <w:rPr>
          <w:rFonts w:ascii="Times New Roman" w:eastAsia="Calibri" w:hAnsi="Times New Roman" w:cs="Times New Roman"/>
        </w:rPr>
        <w:t>Jeigu pirkimui pasiūlymą pateikia tik vienas teikėjas, kokybės balų skaičiavimas nebus atliekamas, o t</w:t>
      </w:r>
      <w:r w:rsidR="008062E5">
        <w:rPr>
          <w:rFonts w:ascii="Times New Roman" w:eastAsia="Calibri" w:hAnsi="Times New Roman" w:cs="Times New Roman"/>
        </w:rPr>
        <w:t>ie</w:t>
      </w:r>
      <w:r w:rsidRPr="005A084C">
        <w:rPr>
          <w:rFonts w:ascii="Times New Roman" w:eastAsia="Calibri" w:hAnsi="Times New Roman" w:cs="Times New Roman"/>
        </w:rPr>
        <w:t>kėjo pasiūlymas bus pripažintas laimėjusiu, jeigu atitiks visus kitus reikalavimus ir atlikus vertinimą bus pripažintas priimtinu (nėra teikėjo pašalinimo pagrindų,</w:t>
      </w:r>
      <w:r w:rsidR="00EF2E9B" w:rsidRPr="005A084C">
        <w:rPr>
          <w:rFonts w:ascii="Times New Roman" w:eastAsia="Calibri" w:hAnsi="Times New Roman" w:cs="Times New Roman"/>
        </w:rPr>
        <w:t xml:space="preserve"> </w:t>
      </w:r>
      <w:r w:rsidRPr="005A084C">
        <w:rPr>
          <w:rFonts w:ascii="Times New Roman" w:eastAsia="Calibri" w:hAnsi="Times New Roman" w:cs="Times New Roman"/>
        </w:rPr>
        <w:t xml:space="preserve">kaina nėra per didelė ir t. t.). </w:t>
      </w:r>
    </w:p>
    <w:p w14:paraId="121AD65F" w14:textId="77777777" w:rsidR="005C6701" w:rsidRPr="005A084C" w:rsidRDefault="005C6701" w:rsidP="004B5CAE">
      <w:pPr>
        <w:rPr>
          <w:rFonts w:ascii="Times New Roman" w:hAnsi="Times New Roman" w:cs="Times New Roman"/>
        </w:rPr>
      </w:pPr>
    </w:p>
    <w:sectPr w:rsidR="005C6701" w:rsidRPr="005A084C" w:rsidSect="007879AA">
      <w:type w:val="continuous"/>
      <w:pgSz w:w="11906" w:h="16838" w:code="9"/>
      <w:pgMar w:top="850" w:right="850" w:bottom="850" w:left="141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64F70" w14:textId="77777777" w:rsidR="00BA5A4D" w:rsidRDefault="00BA5A4D" w:rsidP="00E134B7">
      <w:pPr>
        <w:spacing w:after="0" w:line="240" w:lineRule="auto"/>
      </w:pPr>
      <w:r>
        <w:separator/>
      </w:r>
    </w:p>
  </w:endnote>
  <w:endnote w:type="continuationSeparator" w:id="0">
    <w:p w14:paraId="290A82DF" w14:textId="77777777" w:rsidR="00BA5A4D" w:rsidRDefault="00BA5A4D" w:rsidP="00E13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1B4AA" w14:textId="77777777" w:rsidR="00BA5A4D" w:rsidRDefault="00BA5A4D" w:rsidP="00E134B7">
      <w:pPr>
        <w:spacing w:after="0" w:line="240" w:lineRule="auto"/>
      </w:pPr>
      <w:r>
        <w:separator/>
      </w:r>
    </w:p>
  </w:footnote>
  <w:footnote w:type="continuationSeparator" w:id="0">
    <w:p w14:paraId="763A4EE4" w14:textId="77777777" w:rsidR="00BA5A4D" w:rsidRDefault="00BA5A4D" w:rsidP="00E13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03EE5"/>
    <w:multiLevelType w:val="hybridMultilevel"/>
    <w:tmpl w:val="373A1BDE"/>
    <w:lvl w:ilvl="0" w:tplc="5476AAA6">
      <w:numFmt w:val="bullet"/>
      <w:lvlText w:val=""/>
      <w:lvlJc w:val="left"/>
      <w:pPr>
        <w:ind w:left="1069" w:hanging="360"/>
      </w:pPr>
      <w:rPr>
        <w:rFonts w:ascii="Symbol" w:eastAsia="Times New Roman" w:hAnsi="Symbol" w:cs="Times New Roman" w:hint="default"/>
        <w:b/>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1AE91249"/>
    <w:multiLevelType w:val="hybridMultilevel"/>
    <w:tmpl w:val="0AA84D4E"/>
    <w:lvl w:ilvl="0" w:tplc="644C2FE6">
      <w:start w:val="5"/>
      <w:numFmt w:val="lowerLetter"/>
      <w:lvlText w:val="%1."/>
      <w:lvlJc w:val="left"/>
      <w:pPr>
        <w:ind w:left="2370" w:hanging="360"/>
      </w:pPr>
      <w:rPr>
        <w:rFonts w:asciiTheme="minorHAnsi" w:hAnsiTheme="minorHAnsi" w:cstheme="minorBidi" w:hint="default"/>
        <w:sz w:val="22"/>
      </w:rPr>
    </w:lvl>
    <w:lvl w:ilvl="1" w:tplc="04270019" w:tentative="1">
      <w:start w:val="1"/>
      <w:numFmt w:val="lowerLetter"/>
      <w:lvlText w:val="%2."/>
      <w:lvlJc w:val="left"/>
      <w:pPr>
        <w:ind w:left="3090" w:hanging="360"/>
      </w:pPr>
    </w:lvl>
    <w:lvl w:ilvl="2" w:tplc="0427001B" w:tentative="1">
      <w:start w:val="1"/>
      <w:numFmt w:val="lowerRoman"/>
      <w:lvlText w:val="%3."/>
      <w:lvlJc w:val="right"/>
      <w:pPr>
        <w:ind w:left="3810" w:hanging="180"/>
      </w:pPr>
    </w:lvl>
    <w:lvl w:ilvl="3" w:tplc="0427000F" w:tentative="1">
      <w:start w:val="1"/>
      <w:numFmt w:val="decimal"/>
      <w:lvlText w:val="%4."/>
      <w:lvlJc w:val="left"/>
      <w:pPr>
        <w:ind w:left="4530" w:hanging="360"/>
      </w:pPr>
    </w:lvl>
    <w:lvl w:ilvl="4" w:tplc="04270019" w:tentative="1">
      <w:start w:val="1"/>
      <w:numFmt w:val="lowerLetter"/>
      <w:lvlText w:val="%5."/>
      <w:lvlJc w:val="left"/>
      <w:pPr>
        <w:ind w:left="5250" w:hanging="360"/>
      </w:pPr>
    </w:lvl>
    <w:lvl w:ilvl="5" w:tplc="0427001B" w:tentative="1">
      <w:start w:val="1"/>
      <w:numFmt w:val="lowerRoman"/>
      <w:lvlText w:val="%6."/>
      <w:lvlJc w:val="right"/>
      <w:pPr>
        <w:ind w:left="5970" w:hanging="180"/>
      </w:pPr>
    </w:lvl>
    <w:lvl w:ilvl="6" w:tplc="0427000F" w:tentative="1">
      <w:start w:val="1"/>
      <w:numFmt w:val="decimal"/>
      <w:lvlText w:val="%7."/>
      <w:lvlJc w:val="left"/>
      <w:pPr>
        <w:ind w:left="6690" w:hanging="360"/>
      </w:pPr>
    </w:lvl>
    <w:lvl w:ilvl="7" w:tplc="04270019" w:tentative="1">
      <w:start w:val="1"/>
      <w:numFmt w:val="lowerLetter"/>
      <w:lvlText w:val="%8."/>
      <w:lvlJc w:val="left"/>
      <w:pPr>
        <w:ind w:left="7410" w:hanging="360"/>
      </w:pPr>
    </w:lvl>
    <w:lvl w:ilvl="8" w:tplc="0427001B" w:tentative="1">
      <w:start w:val="1"/>
      <w:numFmt w:val="lowerRoman"/>
      <w:lvlText w:val="%9."/>
      <w:lvlJc w:val="right"/>
      <w:pPr>
        <w:ind w:left="8130" w:hanging="180"/>
      </w:pPr>
    </w:lvl>
  </w:abstractNum>
  <w:abstractNum w:abstractNumId="2" w15:restartNumberingAfterBreak="0">
    <w:nsid w:val="29D74CAE"/>
    <w:multiLevelType w:val="multilevel"/>
    <w:tmpl w:val="85AC923C"/>
    <w:lvl w:ilvl="0">
      <w:start w:val="1"/>
      <w:numFmt w:val="decimal"/>
      <w:suff w:val="space"/>
      <w:lvlText w:val="%1."/>
      <w:lvlJc w:val="left"/>
      <w:pPr>
        <w:ind w:left="-141"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AAE1663"/>
    <w:multiLevelType w:val="multilevel"/>
    <w:tmpl w:val="E408846E"/>
    <w:lvl w:ilvl="0">
      <w:start w:val="1"/>
      <w:numFmt w:val="decimal"/>
      <w:lvlText w:val="%1."/>
      <w:lvlJc w:val="left"/>
      <w:pPr>
        <w:ind w:left="1211" w:hanging="360"/>
      </w:pPr>
      <w:rPr>
        <w:rFonts w:hint="default"/>
        <w:b w:val="0"/>
        <w:i w:val="0"/>
        <w:color w:val="auto"/>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2F4A74"/>
    <w:multiLevelType w:val="hybridMultilevel"/>
    <w:tmpl w:val="FC84F8B0"/>
    <w:lvl w:ilvl="0" w:tplc="0427000F">
      <w:start w:val="1"/>
      <w:numFmt w:val="decimal"/>
      <w:lvlText w:val="%1."/>
      <w:lvlJc w:val="left"/>
      <w:pPr>
        <w:ind w:left="1426" w:hanging="360"/>
      </w:pPr>
    </w:lvl>
    <w:lvl w:ilvl="1" w:tplc="04270019" w:tentative="1">
      <w:start w:val="1"/>
      <w:numFmt w:val="lowerLetter"/>
      <w:lvlText w:val="%2."/>
      <w:lvlJc w:val="left"/>
      <w:pPr>
        <w:ind w:left="2146" w:hanging="360"/>
      </w:pPr>
    </w:lvl>
    <w:lvl w:ilvl="2" w:tplc="0427001B" w:tentative="1">
      <w:start w:val="1"/>
      <w:numFmt w:val="lowerRoman"/>
      <w:lvlText w:val="%3."/>
      <w:lvlJc w:val="right"/>
      <w:pPr>
        <w:ind w:left="2866" w:hanging="180"/>
      </w:pPr>
    </w:lvl>
    <w:lvl w:ilvl="3" w:tplc="0427000F" w:tentative="1">
      <w:start w:val="1"/>
      <w:numFmt w:val="decimal"/>
      <w:lvlText w:val="%4."/>
      <w:lvlJc w:val="left"/>
      <w:pPr>
        <w:ind w:left="3586" w:hanging="360"/>
      </w:pPr>
    </w:lvl>
    <w:lvl w:ilvl="4" w:tplc="04270019" w:tentative="1">
      <w:start w:val="1"/>
      <w:numFmt w:val="lowerLetter"/>
      <w:lvlText w:val="%5."/>
      <w:lvlJc w:val="left"/>
      <w:pPr>
        <w:ind w:left="4306" w:hanging="360"/>
      </w:pPr>
    </w:lvl>
    <w:lvl w:ilvl="5" w:tplc="0427001B" w:tentative="1">
      <w:start w:val="1"/>
      <w:numFmt w:val="lowerRoman"/>
      <w:lvlText w:val="%6."/>
      <w:lvlJc w:val="right"/>
      <w:pPr>
        <w:ind w:left="5026" w:hanging="180"/>
      </w:pPr>
    </w:lvl>
    <w:lvl w:ilvl="6" w:tplc="0427000F" w:tentative="1">
      <w:start w:val="1"/>
      <w:numFmt w:val="decimal"/>
      <w:lvlText w:val="%7."/>
      <w:lvlJc w:val="left"/>
      <w:pPr>
        <w:ind w:left="5746" w:hanging="360"/>
      </w:pPr>
    </w:lvl>
    <w:lvl w:ilvl="7" w:tplc="04270019" w:tentative="1">
      <w:start w:val="1"/>
      <w:numFmt w:val="lowerLetter"/>
      <w:lvlText w:val="%8."/>
      <w:lvlJc w:val="left"/>
      <w:pPr>
        <w:ind w:left="6466" w:hanging="360"/>
      </w:pPr>
    </w:lvl>
    <w:lvl w:ilvl="8" w:tplc="0427001B" w:tentative="1">
      <w:start w:val="1"/>
      <w:numFmt w:val="lowerRoman"/>
      <w:lvlText w:val="%9."/>
      <w:lvlJc w:val="right"/>
      <w:pPr>
        <w:ind w:left="7186" w:hanging="180"/>
      </w:pPr>
    </w:lvl>
  </w:abstractNum>
  <w:abstractNum w:abstractNumId="5" w15:restartNumberingAfterBreak="0">
    <w:nsid w:val="38960688"/>
    <w:multiLevelType w:val="multilevel"/>
    <w:tmpl w:val="C5666F2C"/>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0FC46AE"/>
    <w:multiLevelType w:val="multilevel"/>
    <w:tmpl w:val="A572741A"/>
    <w:lvl w:ilvl="0">
      <w:start w:val="10"/>
      <w:numFmt w:val="decimal"/>
      <w:lvlText w:val="%1."/>
      <w:lvlJc w:val="left"/>
      <w:pPr>
        <w:tabs>
          <w:tab w:val="num" w:pos="1650"/>
        </w:tabs>
        <w:ind w:left="1650" w:hanging="360"/>
      </w:pPr>
    </w:lvl>
    <w:lvl w:ilvl="1">
      <w:start w:val="1"/>
      <w:numFmt w:val="lowerLetter"/>
      <w:lvlText w:val="%2."/>
      <w:lvlJc w:val="left"/>
      <w:pPr>
        <w:tabs>
          <w:tab w:val="num" w:pos="2370"/>
        </w:tabs>
        <w:ind w:left="2370" w:hanging="360"/>
      </w:pPr>
    </w:lvl>
    <w:lvl w:ilvl="2">
      <w:start w:val="1"/>
      <w:numFmt w:val="lowerRoman"/>
      <w:lvlText w:val="%3."/>
      <w:lvlJc w:val="right"/>
      <w:pPr>
        <w:tabs>
          <w:tab w:val="num" w:pos="3090"/>
        </w:tabs>
        <w:ind w:left="3090" w:hanging="180"/>
      </w:pPr>
    </w:lvl>
    <w:lvl w:ilvl="3">
      <w:start w:val="1"/>
      <w:numFmt w:val="decimal"/>
      <w:lvlText w:val="%4."/>
      <w:lvlJc w:val="left"/>
      <w:pPr>
        <w:tabs>
          <w:tab w:val="num" w:pos="3810"/>
        </w:tabs>
        <w:ind w:left="3810" w:hanging="360"/>
      </w:pPr>
    </w:lvl>
    <w:lvl w:ilvl="4">
      <w:start w:val="1"/>
      <w:numFmt w:val="lowerLetter"/>
      <w:lvlText w:val="%5."/>
      <w:lvlJc w:val="left"/>
      <w:pPr>
        <w:tabs>
          <w:tab w:val="num" w:pos="4530"/>
        </w:tabs>
        <w:ind w:left="4530" w:hanging="360"/>
      </w:pPr>
    </w:lvl>
    <w:lvl w:ilvl="5">
      <w:start w:val="1"/>
      <w:numFmt w:val="lowerRoman"/>
      <w:lvlText w:val="%6."/>
      <w:lvlJc w:val="right"/>
      <w:pPr>
        <w:tabs>
          <w:tab w:val="num" w:pos="5250"/>
        </w:tabs>
        <w:ind w:left="5250" w:hanging="180"/>
      </w:pPr>
    </w:lvl>
    <w:lvl w:ilvl="6">
      <w:start w:val="1"/>
      <w:numFmt w:val="decimal"/>
      <w:lvlText w:val="%7."/>
      <w:lvlJc w:val="left"/>
      <w:pPr>
        <w:tabs>
          <w:tab w:val="num" w:pos="5970"/>
        </w:tabs>
        <w:ind w:left="5970" w:hanging="360"/>
      </w:pPr>
    </w:lvl>
    <w:lvl w:ilvl="7">
      <w:start w:val="1"/>
      <w:numFmt w:val="lowerLetter"/>
      <w:lvlText w:val="%8."/>
      <w:lvlJc w:val="left"/>
      <w:pPr>
        <w:tabs>
          <w:tab w:val="num" w:pos="6690"/>
        </w:tabs>
        <w:ind w:left="6690" w:hanging="360"/>
      </w:pPr>
    </w:lvl>
    <w:lvl w:ilvl="8">
      <w:start w:val="1"/>
      <w:numFmt w:val="lowerRoman"/>
      <w:lvlText w:val="%9."/>
      <w:lvlJc w:val="right"/>
      <w:pPr>
        <w:tabs>
          <w:tab w:val="num" w:pos="7410"/>
        </w:tabs>
        <w:ind w:left="7410" w:hanging="180"/>
      </w:pPr>
    </w:lvl>
  </w:abstractNum>
  <w:abstractNum w:abstractNumId="7" w15:restartNumberingAfterBreak="0">
    <w:nsid w:val="54F86C6D"/>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8A60F62"/>
    <w:multiLevelType w:val="hybridMultilevel"/>
    <w:tmpl w:val="B3D22E38"/>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9" w15:restartNumberingAfterBreak="0">
    <w:nsid w:val="5941651A"/>
    <w:multiLevelType w:val="multilevel"/>
    <w:tmpl w:val="D89A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931BDC"/>
    <w:multiLevelType w:val="multilevel"/>
    <w:tmpl w:val="1196F818"/>
    <w:lvl w:ilvl="0">
      <w:start w:val="31"/>
      <w:numFmt w:val="decimal"/>
      <w:lvlText w:val="%1."/>
      <w:lvlJc w:val="left"/>
      <w:pPr>
        <w:ind w:left="360" w:hanging="360"/>
      </w:pPr>
      <w:rPr>
        <w:rFonts w:hint="default"/>
        <w:b w:val="0"/>
        <w:bCs w:val="0"/>
        <w:i w:val="0"/>
        <w:iCs/>
        <w:color w:val="auto"/>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D5F2EA5"/>
    <w:multiLevelType w:val="multilevel"/>
    <w:tmpl w:val="633C8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F512E0"/>
    <w:multiLevelType w:val="hybridMultilevel"/>
    <w:tmpl w:val="9DE03698"/>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16cid:durableId="745306034">
    <w:abstractNumId w:val="5"/>
  </w:num>
  <w:num w:numId="2" w16cid:durableId="154031277">
    <w:abstractNumId w:val="2"/>
  </w:num>
  <w:num w:numId="3" w16cid:durableId="1827167173">
    <w:abstractNumId w:val="12"/>
  </w:num>
  <w:num w:numId="4" w16cid:durableId="357581438">
    <w:abstractNumId w:val="8"/>
  </w:num>
  <w:num w:numId="5" w16cid:durableId="2145853100">
    <w:abstractNumId w:val="10"/>
  </w:num>
  <w:num w:numId="6" w16cid:durableId="1904365677">
    <w:abstractNumId w:val="4"/>
  </w:num>
  <w:num w:numId="7" w16cid:durableId="775834153">
    <w:abstractNumId w:val="7"/>
  </w:num>
  <w:num w:numId="8" w16cid:durableId="1472096716">
    <w:abstractNumId w:val="11"/>
  </w:num>
  <w:num w:numId="9" w16cid:durableId="707265266">
    <w:abstractNumId w:val="0"/>
  </w:num>
  <w:num w:numId="10" w16cid:durableId="711153850">
    <w:abstractNumId w:val="9"/>
  </w:num>
  <w:num w:numId="11" w16cid:durableId="648949144">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1130168">
    <w:abstractNumId w:val="3"/>
  </w:num>
  <w:num w:numId="13" w16cid:durableId="2100829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4B7"/>
    <w:rsid w:val="00014E6E"/>
    <w:rsid w:val="000212E1"/>
    <w:rsid w:val="000371B8"/>
    <w:rsid w:val="0005533F"/>
    <w:rsid w:val="00061BED"/>
    <w:rsid w:val="000639C2"/>
    <w:rsid w:val="00065476"/>
    <w:rsid w:val="00070ADB"/>
    <w:rsid w:val="00072A9F"/>
    <w:rsid w:val="000A511B"/>
    <w:rsid w:val="000D0EC0"/>
    <w:rsid w:val="000E033F"/>
    <w:rsid w:val="00111CBE"/>
    <w:rsid w:val="001160C9"/>
    <w:rsid w:val="00131C4D"/>
    <w:rsid w:val="00135019"/>
    <w:rsid w:val="00140412"/>
    <w:rsid w:val="001550E1"/>
    <w:rsid w:val="00162CC2"/>
    <w:rsid w:val="00167352"/>
    <w:rsid w:val="00194906"/>
    <w:rsid w:val="001A4E75"/>
    <w:rsid w:val="001B03E3"/>
    <w:rsid w:val="001B7850"/>
    <w:rsid w:val="001E01C7"/>
    <w:rsid w:val="001E0415"/>
    <w:rsid w:val="002015C9"/>
    <w:rsid w:val="002201AD"/>
    <w:rsid w:val="0023700E"/>
    <w:rsid w:val="00246BD2"/>
    <w:rsid w:val="00246EC0"/>
    <w:rsid w:val="002632B6"/>
    <w:rsid w:val="002669B7"/>
    <w:rsid w:val="00267BC6"/>
    <w:rsid w:val="00274212"/>
    <w:rsid w:val="002758CF"/>
    <w:rsid w:val="00284B8A"/>
    <w:rsid w:val="002861B0"/>
    <w:rsid w:val="002A0610"/>
    <w:rsid w:val="002A0ECF"/>
    <w:rsid w:val="002A1497"/>
    <w:rsid w:val="002A57C2"/>
    <w:rsid w:val="002A7210"/>
    <w:rsid w:val="002B15DA"/>
    <w:rsid w:val="002C73A2"/>
    <w:rsid w:val="002E1AB9"/>
    <w:rsid w:val="002F2421"/>
    <w:rsid w:val="00325AC6"/>
    <w:rsid w:val="003275D8"/>
    <w:rsid w:val="00331151"/>
    <w:rsid w:val="00332729"/>
    <w:rsid w:val="00337D30"/>
    <w:rsid w:val="00351D08"/>
    <w:rsid w:val="00351DD7"/>
    <w:rsid w:val="00367CB1"/>
    <w:rsid w:val="0037364F"/>
    <w:rsid w:val="0037601C"/>
    <w:rsid w:val="00391351"/>
    <w:rsid w:val="00395B68"/>
    <w:rsid w:val="003F304A"/>
    <w:rsid w:val="004219E1"/>
    <w:rsid w:val="004233DD"/>
    <w:rsid w:val="00427C32"/>
    <w:rsid w:val="00431511"/>
    <w:rsid w:val="00453335"/>
    <w:rsid w:val="00462057"/>
    <w:rsid w:val="0047043E"/>
    <w:rsid w:val="00474CEB"/>
    <w:rsid w:val="00485B12"/>
    <w:rsid w:val="00493BFC"/>
    <w:rsid w:val="004A4112"/>
    <w:rsid w:val="004A471A"/>
    <w:rsid w:val="004B0FA4"/>
    <w:rsid w:val="004B5CAE"/>
    <w:rsid w:val="004C1BB5"/>
    <w:rsid w:val="004D0786"/>
    <w:rsid w:val="00506373"/>
    <w:rsid w:val="00510D7C"/>
    <w:rsid w:val="00510FB0"/>
    <w:rsid w:val="005453EC"/>
    <w:rsid w:val="005571AE"/>
    <w:rsid w:val="00557C04"/>
    <w:rsid w:val="00586D73"/>
    <w:rsid w:val="005A084C"/>
    <w:rsid w:val="005A5670"/>
    <w:rsid w:val="005C287F"/>
    <w:rsid w:val="005C5AC7"/>
    <w:rsid w:val="005C6701"/>
    <w:rsid w:val="005F3E8E"/>
    <w:rsid w:val="00603386"/>
    <w:rsid w:val="00621037"/>
    <w:rsid w:val="00621DE9"/>
    <w:rsid w:val="00626FD1"/>
    <w:rsid w:val="00627A7C"/>
    <w:rsid w:val="006418E3"/>
    <w:rsid w:val="00655ABE"/>
    <w:rsid w:val="00673093"/>
    <w:rsid w:val="00676FD6"/>
    <w:rsid w:val="00687BF5"/>
    <w:rsid w:val="00697071"/>
    <w:rsid w:val="006A5D76"/>
    <w:rsid w:val="006A626E"/>
    <w:rsid w:val="006B1C15"/>
    <w:rsid w:val="006D05C7"/>
    <w:rsid w:val="006D547A"/>
    <w:rsid w:val="006F0E4E"/>
    <w:rsid w:val="006F666A"/>
    <w:rsid w:val="00741968"/>
    <w:rsid w:val="00745790"/>
    <w:rsid w:val="007466D6"/>
    <w:rsid w:val="0078568B"/>
    <w:rsid w:val="007879AA"/>
    <w:rsid w:val="007B352E"/>
    <w:rsid w:val="007B4309"/>
    <w:rsid w:val="007C3C7A"/>
    <w:rsid w:val="008062E5"/>
    <w:rsid w:val="00822CE0"/>
    <w:rsid w:val="008316C2"/>
    <w:rsid w:val="00843350"/>
    <w:rsid w:val="0087522D"/>
    <w:rsid w:val="0088733F"/>
    <w:rsid w:val="00891108"/>
    <w:rsid w:val="008A2B73"/>
    <w:rsid w:val="008F01FD"/>
    <w:rsid w:val="008F1AD4"/>
    <w:rsid w:val="008F279D"/>
    <w:rsid w:val="008F6B2C"/>
    <w:rsid w:val="00900C86"/>
    <w:rsid w:val="009012B2"/>
    <w:rsid w:val="0090688A"/>
    <w:rsid w:val="00913922"/>
    <w:rsid w:val="009339DE"/>
    <w:rsid w:val="00952B60"/>
    <w:rsid w:val="00973EE6"/>
    <w:rsid w:val="00975EBC"/>
    <w:rsid w:val="009A0D96"/>
    <w:rsid w:val="009C2282"/>
    <w:rsid w:val="009D2E9F"/>
    <w:rsid w:val="00A00253"/>
    <w:rsid w:val="00A00599"/>
    <w:rsid w:val="00A01693"/>
    <w:rsid w:val="00A058CB"/>
    <w:rsid w:val="00A0628E"/>
    <w:rsid w:val="00A13821"/>
    <w:rsid w:val="00A3234F"/>
    <w:rsid w:val="00A56284"/>
    <w:rsid w:val="00A75B41"/>
    <w:rsid w:val="00AB417C"/>
    <w:rsid w:val="00AB7C5C"/>
    <w:rsid w:val="00AC2312"/>
    <w:rsid w:val="00AC6BF7"/>
    <w:rsid w:val="00AD3DBE"/>
    <w:rsid w:val="00AE2F72"/>
    <w:rsid w:val="00B00C86"/>
    <w:rsid w:val="00B03B64"/>
    <w:rsid w:val="00B12BC3"/>
    <w:rsid w:val="00B1326C"/>
    <w:rsid w:val="00B278ED"/>
    <w:rsid w:val="00B27F4C"/>
    <w:rsid w:val="00B3338C"/>
    <w:rsid w:val="00B348E5"/>
    <w:rsid w:val="00B52049"/>
    <w:rsid w:val="00B666E5"/>
    <w:rsid w:val="00B718E3"/>
    <w:rsid w:val="00B81437"/>
    <w:rsid w:val="00B8658A"/>
    <w:rsid w:val="00B87DAD"/>
    <w:rsid w:val="00B96056"/>
    <w:rsid w:val="00BA35E5"/>
    <w:rsid w:val="00BA5A4D"/>
    <w:rsid w:val="00BE6A1E"/>
    <w:rsid w:val="00C02F8F"/>
    <w:rsid w:val="00C1455F"/>
    <w:rsid w:val="00C2064E"/>
    <w:rsid w:val="00C2585D"/>
    <w:rsid w:val="00C36074"/>
    <w:rsid w:val="00C423A1"/>
    <w:rsid w:val="00C70EF1"/>
    <w:rsid w:val="00C8206A"/>
    <w:rsid w:val="00C900CD"/>
    <w:rsid w:val="00C9148C"/>
    <w:rsid w:val="00C92C9E"/>
    <w:rsid w:val="00C95B14"/>
    <w:rsid w:val="00CA31FE"/>
    <w:rsid w:val="00CC7E8E"/>
    <w:rsid w:val="00CC7FF3"/>
    <w:rsid w:val="00CD4910"/>
    <w:rsid w:val="00D010F2"/>
    <w:rsid w:val="00D0191D"/>
    <w:rsid w:val="00D062ED"/>
    <w:rsid w:val="00D162B5"/>
    <w:rsid w:val="00D4350F"/>
    <w:rsid w:val="00D44F69"/>
    <w:rsid w:val="00D80BF6"/>
    <w:rsid w:val="00D83187"/>
    <w:rsid w:val="00D9180A"/>
    <w:rsid w:val="00D959EB"/>
    <w:rsid w:val="00D9776D"/>
    <w:rsid w:val="00DA3DA0"/>
    <w:rsid w:val="00DB6558"/>
    <w:rsid w:val="00DC04D5"/>
    <w:rsid w:val="00DC1FF9"/>
    <w:rsid w:val="00DD019C"/>
    <w:rsid w:val="00DD6693"/>
    <w:rsid w:val="00DE59BE"/>
    <w:rsid w:val="00DF06C4"/>
    <w:rsid w:val="00DF4E8E"/>
    <w:rsid w:val="00E00393"/>
    <w:rsid w:val="00E04C55"/>
    <w:rsid w:val="00E062BF"/>
    <w:rsid w:val="00E065BF"/>
    <w:rsid w:val="00E0749B"/>
    <w:rsid w:val="00E134B7"/>
    <w:rsid w:val="00E1513F"/>
    <w:rsid w:val="00E156C6"/>
    <w:rsid w:val="00E23411"/>
    <w:rsid w:val="00E4794A"/>
    <w:rsid w:val="00E56E45"/>
    <w:rsid w:val="00E646D7"/>
    <w:rsid w:val="00E86050"/>
    <w:rsid w:val="00E95771"/>
    <w:rsid w:val="00EA70AF"/>
    <w:rsid w:val="00EB1EAC"/>
    <w:rsid w:val="00EB514F"/>
    <w:rsid w:val="00EC4B9F"/>
    <w:rsid w:val="00EE0981"/>
    <w:rsid w:val="00EE26E0"/>
    <w:rsid w:val="00EF0E77"/>
    <w:rsid w:val="00EF2E9B"/>
    <w:rsid w:val="00F03537"/>
    <w:rsid w:val="00F11B24"/>
    <w:rsid w:val="00F141AD"/>
    <w:rsid w:val="00F24A20"/>
    <w:rsid w:val="00F304CE"/>
    <w:rsid w:val="00F37162"/>
    <w:rsid w:val="00F43543"/>
    <w:rsid w:val="00F5150B"/>
    <w:rsid w:val="00F603DC"/>
    <w:rsid w:val="00F6110D"/>
    <w:rsid w:val="00F77A2E"/>
    <w:rsid w:val="00F863F4"/>
    <w:rsid w:val="00F91BF9"/>
    <w:rsid w:val="00F93D14"/>
    <w:rsid w:val="00F9657F"/>
    <w:rsid w:val="00F96587"/>
    <w:rsid w:val="00FA3CA3"/>
    <w:rsid w:val="00FA47D1"/>
    <w:rsid w:val="00FA4E83"/>
    <w:rsid w:val="00FB087E"/>
    <w:rsid w:val="00FE4B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3845D"/>
  <w15:chartTrackingRefBased/>
  <w15:docId w15:val="{84F41157-6DA2-4C09-9A58-93AA52A3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13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E134B7"/>
    <w:pPr>
      <w:spacing w:after="0" w:line="240" w:lineRule="auto"/>
      <w:jc w:val="both"/>
    </w:pPr>
    <w:rPr>
      <w:rFonts w:ascii="Times New Roman" w:hAnsi="Times New Roman"/>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134B7"/>
    <w:rPr>
      <w:rFonts w:ascii="Times New Roman" w:hAnsi="Times New Roman"/>
      <w:sz w:val="20"/>
      <w:szCs w:val="20"/>
    </w:rPr>
  </w:style>
  <w:style w:type="character" w:styleId="Puslapioinaosnuoroda">
    <w:name w:val="footnote reference"/>
    <w:basedOn w:val="Numatytasispastraiposriftas"/>
    <w:uiPriority w:val="99"/>
    <w:unhideWhenUsed/>
    <w:rsid w:val="00E134B7"/>
    <w:rPr>
      <w:vertAlign w:val="superscript"/>
    </w:rPr>
  </w:style>
  <w:style w:type="paragraph" w:styleId="Sraopastraipa">
    <w:name w:val="List Paragraph"/>
    <w:aliases w:val="Numbering,ERP-List Paragraph,List Paragraph11,List Paragraph111,List Paragr1,List not in Table,Bullet EY,List Paragraph2,List Paragraph Red,Buletai,List Paragraph21,List Paragraph1,lp1,Bullet 1,Use Case List Paragraph,Paragraph,Lentele"/>
    <w:basedOn w:val="prastasis"/>
    <w:link w:val="SraopastraipaDiagrama"/>
    <w:uiPriority w:val="34"/>
    <w:qFormat/>
    <w:rsid w:val="00C95B14"/>
    <w:pPr>
      <w:ind w:left="720"/>
      <w:contextualSpacing/>
    </w:pPr>
  </w:style>
  <w:style w:type="character" w:customStyle="1" w:styleId="SraopastraipaDiagrama">
    <w:name w:val="Sąrašo pastraipa Diagrama"/>
    <w:aliases w:val="Numbering Diagrama,ERP-List Paragraph Diagrama,List Paragraph11 Diagrama,List Paragraph111 Diagrama,List Paragr1 Diagrama,List not in Table Diagrama,Bullet EY Diagrama,List Paragraph2 Diagrama,List Paragraph Red Diagrama"/>
    <w:link w:val="Sraopastraipa"/>
    <w:uiPriority w:val="34"/>
    <w:qFormat/>
    <w:locked/>
    <w:rsid w:val="00C95B14"/>
  </w:style>
  <w:style w:type="character" w:styleId="Komentaronuoroda">
    <w:name w:val="annotation reference"/>
    <w:basedOn w:val="Numatytasispastraiposriftas"/>
    <w:uiPriority w:val="99"/>
    <w:semiHidden/>
    <w:unhideWhenUsed/>
    <w:rsid w:val="002861B0"/>
    <w:rPr>
      <w:sz w:val="16"/>
      <w:szCs w:val="16"/>
    </w:rPr>
  </w:style>
  <w:style w:type="paragraph" w:styleId="Komentarotekstas">
    <w:name w:val="annotation text"/>
    <w:basedOn w:val="prastasis"/>
    <w:link w:val="KomentarotekstasDiagrama"/>
    <w:uiPriority w:val="99"/>
    <w:unhideWhenUsed/>
    <w:rsid w:val="002861B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861B0"/>
    <w:rPr>
      <w:sz w:val="20"/>
      <w:szCs w:val="20"/>
    </w:rPr>
  </w:style>
  <w:style w:type="paragraph" w:styleId="Komentarotema">
    <w:name w:val="annotation subject"/>
    <w:basedOn w:val="Komentarotekstas"/>
    <w:next w:val="Komentarotekstas"/>
    <w:link w:val="KomentarotemaDiagrama"/>
    <w:uiPriority w:val="99"/>
    <w:semiHidden/>
    <w:unhideWhenUsed/>
    <w:rsid w:val="002861B0"/>
    <w:rPr>
      <w:b/>
      <w:bCs/>
    </w:rPr>
  </w:style>
  <w:style w:type="character" w:customStyle="1" w:styleId="KomentarotemaDiagrama">
    <w:name w:val="Komentaro tema Diagrama"/>
    <w:basedOn w:val="KomentarotekstasDiagrama"/>
    <w:link w:val="Komentarotema"/>
    <w:uiPriority w:val="99"/>
    <w:semiHidden/>
    <w:rsid w:val="002861B0"/>
    <w:rPr>
      <w:b/>
      <w:bCs/>
      <w:sz w:val="20"/>
      <w:szCs w:val="20"/>
    </w:rPr>
  </w:style>
  <w:style w:type="paragraph" w:styleId="Pataisymai">
    <w:name w:val="Revision"/>
    <w:hidden/>
    <w:uiPriority w:val="99"/>
    <w:semiHidden/>
    <w:rsid w:val="00BE6A1E"/>
    <w:pPr>
      <w:spacing w:after="0" w:line="240" w:lineRule="auto"/>
    </w:pPr>
  </w:style>
  <w:style w:type="paragraph" w:styleId="prastasiniatinklio">
    <w:name w:val="Normal (Web)"/>
    <w:basedOn w:val="prastasis"/>
    <w:uiPriority w:val="99"/>
    <w:unhideWhenUsed/>
    <w:rsid w:val="00900C8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900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4466</Words>
  <Characters>2547</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Aušra Baltrušaitė</cp:lastModifiedBy>
  <cp:revision>10</cp:revision>
  <dcterms:created xsi:type="dcterms:W3CDTF">2025-10-13T04:38:00Z</dcterms:created>
  <dcterms:modified xsi:type="dcterms:W3CDTF">2025-10-20T06:08:00Z</dcterms:modified>
</cp:coreProperties>
</file>