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0C05" w14:textId="77777777" w:rsidR="00A3666D" w:rsidRPr="001E64C9" w:rsidRDefault="00A3666D" w:rsidP="00A3666D">
      <w:pPr>
        <w:widowControl w:val="0"/>
        <w:tabs>
          <w:tab w:val="left" w:pos="567"/>
        </w:tabs>
        <w:jc w:val="both"/>
        <w:rPr>
          <w:rFonts w:eastAsia="Calibri"/>
          <w:b/>
          <w:sz w:val="24"/>
          <w:szCs w:val="24"/>
        </w:rPr>
      </w:pPr>
      <w:r w:rsidRPr="001E64C9">
        <w:rPr>
          <w:rFonts w:eastAsia="Calibri"/>
          <w:b/>
          <w:sz w:val="24"/>
          <w:szCs w:val="24"/>
        </w:rPr>
        <w:t>DĖL KOMISIJOS SPRENDIMŲ</w:t>
      </w:r>
    </w:p>
    <w:p w14:paraId="5B4828E0" w14:textId="5FE78FA8" w:rsidR="001E64C9" w:rsidRPr="001E64C9" w:rsidRDefault="001E64C9" w:rsidP="00A3666D">
      <w:pPr>
        <w:widowControl w:val="0"/>
        <w:tabs>
          <w:tab w:val="left" w:pos="567"/>
        </w:tabs>
        <w:jc w:val="both"/>
        <w:rPr>
          <w:rFonts w:eastAsia="Calibri"/>
          <w:b/>
          <w:sz w:val="24"/>
          <w:szCs w:val="24"/>
        </w:rPr>
      </w:pPr>
      <w:r w:rsidRPr="001E64C9">
        <w:rPr>
          <w:rFonts w:eastAsia="Calibri"/>
          <w:b/>
          <w:sz w:val="24"/>
          <w:szCs w:val="24"/>
        </w:rPr>
        <w:t>Visiems tiekėjams</w:t>
      </w:r>
    </w:p>
    <w:p w14:paraId="5AFDDBE1" w14:textId="77777777" w:rsidR="00A3666D" w:rsidRDefault="00A3666D" w:rsidP="00A3666D">
      <w:pPr>
        <w:widowControl w:val="0"/>
        <w:tabs>
          <w:tab w:val="left" w:pos="567"/>
        </w:tabs>
        <w:jc w:val="both"/>
        <w:rPr>
          <w:rFonts w:eastAsia="Calibri"/>
          <w:b/>
          <w:sz w:val="24"/>
          <w:szCs w:val="24"/>
        </w:rPr>
      </w:pPr>
    </w:p>
    <w:p w14:paraId="0B3270A9" w14:textId="67299D85" w:rsidR="00070C29" w:rsidRPr="001E64C9" w:rsidRDefault="00070C29" w:rsidP="00070C29">
      <w:pPr>
        <w:widowControl w:val="0"/>
        <w:tabs>
          <w:tab w:val="left" w:pos="567"/>
        </w:tabs>
        <w:jc w:val="center"/>
        <w:rPr>
          <w:rFonts w:eastAsia="Calibri"/>
          <w:b/>
          <w:sz w:val="24"/>
          <w:szCs w:val="24"/>
        </w:rPr>
      </w:pPr>
      <w:r>
        <w:rPr>
          <w:rFonts w:eastAsia="Calibri"/>
          <w:b/>
          <w:sz w:val="24"/>
          <w:szCs w:val="24"/>
        </w:rPr>
        <w:t xml:space="preserve">PIRKIMO SĄLYGŲ PAAIŠKINIMAS </w:t>
      </w:r>
    </w:p>
    <w:p w14:paraId="41835B5F" w14:textId="77777777" w:rsidR="006550EA" w:rsidRDefault="006550EA" w:rsidP="00012F6E">
      <w:pPr>
        <w:pStyle w:val="TEXTAS1"/>
        <w:tabs>
          <w:tab w:val="clear" w:pos="1134"/>
          <w:tab w:val="left" w:pos="567"/>
        </w:tabs>
        <w:ind w:left="0" w:firstLine="567"/>
        <w:rPr>
          <w:rFonts w:eastAsiaTheme="minorHAnsi"/>
          <w:sz w:val="24"/>
          <w:szCs w:val="24"/>
        </w:rPr>
      </w:pPr>
    </w:p>
    <w:p w14:paraId="3E5E37FD" w14:textId="62196B4D" w:rsidR="00214761" w:rsidRPr="00214761" w:rsidRDefault="006550EA" w:rsidP="00070C29">
      <w:pPr>
        <w:pStyle w:val="TEXTAS1"/>
        <w:tabs>
          <w:tab w:val="clear" w:pos="1134"/>
          <w:tab w:val="left" w:pos="567"/>
        </w:tabs>
        <w:ind w:left="0" w:firstLine="567"/>
        <w:rPr>
          <w:sz w:val="24"/>
          <w:szCs w:val="24"/>
        </w:rPr>
      </w:pPr>
      <w:r w:rsidRPr="00214761">
        <w:rPr>
          <w:rFonts w:eastAsiaTheme="minorHAnsi"/>
          <w:sz w:val="24"/>
          <w:szCs w:val="24"/>
        </w:rPr>
        <w:t xml:space="preserve">Informuojame, kad </w:t>
      </w:r>
      <w:r w:rsidRPr="00214761">
        <w:rPr>
          <w:sz w:val="24"/>
          <w:szCs w:val="24"/>
        </w:rPr>
        <w:t>Aplinkos projektų valdymo agentūros</w:t>
      </w:r>
      <w:r w:rsidRPr="00214761">
        <w:rPr>
          <w:rFonts w:eastAsiaTheme="minorHAnsi"/>
          <w:sz w:val="24"/>
          <w:szCs w:val="24"/>
        </w:rPr>
        <w:t xml:space="preserve"> viešųjų pirkimų komisija,</w:t>
      </w:r>
      <w:r w:rsidR="009241F7" w:rsidRPr="00214761">
        <w:rPr>
          <w:kern w:val="72"/>
          <w:sz w:val="24"/>
          <w:szCs w:val="24"/>
        </w:rPr>
        <w:t xml:space="preserve"> </w:t>
      </w:r>
      <w:r w:rsidRPr="00214761">
        <w:rPr>
          <w:rFonts w:eastAsiaTheme="minorHAnsi"/>
          <w:sz w:val="24"/>
          <w:szCs w:val="24"/>
        </w:rPr>
        <w:t>2025-</w:t>
      </w:r>
      <w:r w:rsidR="007B5FD1" w:rsidRPr="00214761">
        <w:rPr>
          <w:rFonts w:eastAsiaTheme="minorHAnsi"/>
          <w:sz w:val="24"/>
          <w:szCs w:val="24"/>
        </w:rPr>
        <w:t>10</w:t>
      </w:r>
      <w:r w:rsidRPr="00214761">
        <w:rPr>
          <w:rFonts w:eastAsiaTheme="minorHAnsi"/>
          <w:sz w:val="24"/>
          <w:szCs w:val="24"/>
        </w:rPr>
        <w:t>-</w:t>
      </w:r>
      <w:r w:rsidR="009241F7" w:rsidRPr="00214761">
        <w:rPr>
          <w:rFonts w:eastAsiaTheme="minorHAnsi"/>
          <w:sz w:val="24"/>
          <w:szCs w:val="24"/>
        </w:rPr>
        <w:t>20</w:t>
      </w:r>
      <w:r w:rsidRPr="00214761">
        <w:rPr>
          <w:rFonts w:eastAsiaTheme="minorHAnsi"/>
          <w:sz w:val="24"/>
          <w:szCs w:val="24"/>
        </w:rPr>
        <w:t xml:space="preserve"> vykusio posėdžio Nr.</w:t>
      </w:r>
      <w:r w:rsidR="009241F7" w:rsidRPr="00214761">
        <w:rPr>
          <w:rFonts w:eastAsiaTheme="minorHAnsi"/>
          <w:sz w:val="24"/>
          <w:szCs w:val="24"/>
        </w:rPr>
        <w:t>3</w:t>
      </w:r>
      <w:r w:rsidRPr="00214761">
        <w:rPr>
          <w:rFonts w:eastAsiaTheme="minorHAnsi"/>
          <w:sz w:val="24"/>
          <w:szCs w:val="24"/>
        </w:rPr>
        <w:t xml:space="preserve"> metu</w:t>
      </w:r>
      <w:r w:rsidR="00070C29">
        <w:rPr>
          <w:rFonts w:eastAsiaTheme="minorHAnsi"/>
          <w:sz w:val="24"/>
          <w:szCs w:val="24"/>
        </w:rPr>
        <w:t>,</w:t>
      </w:r>
      <w:r w:rsidR="00214761">
        <w:rPr>
          <w:sz w:val="24"/>
          <w:szCs w:val="24"/>
          <w:lang w:val="lt-LT"/>
        </w:rPr>
        <w:t xml:space="preserve"> v</w:t>
      </w:r>
      <w:r w:rsidR="00214761" w:rsidRPr="00BD652B">
        <w:rPr>
          <w:sz w:val="24"/>
          <w:szCs w:val="24"/>
          <w:lang w:val="lt-LT"/>
        </w:rPr>
        <w:t>adovau</w:t>
      </w:r>
      <w:r w:rsidR="00070C29">
        <w:rPr>
          <w:sz w:val="24"/>
          <w:szCs w:val="24"/>
          <w:lang w:val="lt-LT"/>
        </w:rPr>
        <w:t xml:space="preserve">damasi </w:t>
      </w:r>
      <w:r w:rsidR="00214761">
        <w:rPr>
          <w:sz w:val="24"/>
          <w:szCs w:val="24"/>
          <w:lang w:val="lt-LT"/>
        </w:rPr>
        <w:t>VPĮ</w:t>
      </w:r>
      <w:r w:rsidR="00214761" w:rsidRPr="00BD652B">
        <w:rPr>
          <w:sz w:val="24"/>
          <w:szCs w:val="24"/>
          <w:lang w:val="lt-LT"/>
        </w:rPr>
        <w:t xml:space="preserve"> 36 straipsnio 6 dalimi</w:t>
      </w:r>
      <w:r w:rsidR="00214761">
        <w:rPr>
          <w:sz w:val="24"/>
          <w:szCs w:val="24"/>
          <w:lang w:val="lt-LT"/>
        </w:rPr>
        <w:t xml:space="preserve"> ir</w:t>
      </w:r>
      <w:r w:rsidR="00214761" w:rsidRPr="00BD652B">
        <w:rPr>
          <w:sz w:val="24"/>
          <w:szCs w:val="24"/>
          <w:lang w:val="lt-LT"/>
        </w:rPr>
        <w:t xml:space="preserve"> atsižvelg</w:t>
      </w:r>
      <w:r w:rsidR="00214761">
        <w:rPr>
          <w:sz w:val="24"/>
          <w:szCs w:val="24"/>
          <w:lang w:val="lt-LT"/>
        </w:rPr>
        <w:t xml:space="preserve">iant </w:t>
      </w:r>
      <w:r w:rsidR="00214761" w:rsidRPr="00BD652B">
        <w:rPr>
          <w:sz w:val="24"/>
          <w:szCs w:val="24"/>
          <w:lang w:val="lt-LT"/>
        </w:rPr>
        <w:t>į tai, kad dar nesibaigė nustatytas pasiūlymų pateikimo terminas, savo iniciatyva</w:t>
      </w:r>
      <w:r w:rsidR="00214761">
        <w:rPr>
          <w:sz w:val="24"/>
          <w:szCs w:val="24"/>
          <w:lang w:val="lt-LT"/>
        </w:rPr>
        <w:t>, nekeičiant pirkimo sąlygų nuostatų,</w:t>
      </w:r>
      <w:r w:rsidR="00214761" w:rsidRPr="00BD652B">
        <w:rPr>
          <w:sz w:val="24"/>
          <w:szCs w:val="24"/>
          <w:lang w:val="lt-LT"/>
        </w:rPr>
        <w:t xml:space="preserve"> </w:t>
      </w:r>
      <w:r w:rsidR="00214761">
        <w:rPr>
          <w:sz w:val="24"/>
          <w:szCs w:val="24"/>
          <w:lang w:val="lt-LT"/>
        </w:rPr>
        <w:t xml:space="preserve">nutarė </w:t>
      </w:r>
      <w:r w:rsidR="00214761" w:rsidRPr="00BD652B">
        <w:rPr>
          <w:sz w:val="24"/>
          <w:szCs w:val="24"/>
          <w:lang w:val="lt-LT"/>
        </w:rPr>
        <w:t xml:space="preserve">paaiškinti </w:t>
      </w:r>
      <w:r w:rsidR="00214761">
        <w:rPr>
          <w:sz w:val="24"/>
          <w:szCs w:val="24"/>
          <w:lang w:val="lt-LT"/>
        </w:rPr>
        <w:t>p</w:t>
      </w:r>
      <w:r w:rsidR="00214761" w:rsidRPr="00BD652B">
        <w:rPr>
          <w:sz w:val="24"/>
          <w:szCs w:val="24"/>
          <w:lang w:val="lt-LT"/>
        </w:rPr>
        <w:t xml:space="preserve">irkimo specialiųjų sąlygų 4 priede </w:t>
      </w:r>
      <w:r w:rsidR="00214761" w:rsidRPr="00214761">
        <w:rPr>
          <w:sz w:val="24"/>
          <w:szCs w:val="24"/>
          <w:lang w:val="lt-LT"/>
        </w:rPr>
        <w:t>„</w:t>
      </w:r>
      <w:r w:rsidR="00214761" w:rsidRPr="00214761">
        <w:rPr>
          <w:rFonts w:eastAsia="Calibri"/>
          <w:color w:val="000000" w:themeColor="text1"/>
          <w:sz w:val="24"/>
          <w:szCs w:val="24"/>
        </w:rPr>
        <w:t>Tiekėjų kvalifikacijos reikalavimai</w:t>
      </w:r>
      <w:r w:rsidR="00214761" w:rsidRPr="00BD652B">
        <w:rPr>
          <w:sz w:val="24"/>
          <w:szCs w:val="24"/>
          <w:lang w:val="lt-LT"/>
        </w:rPr>
        <w:t>“ naudojamas sąvokas</w:t>
      </w:r>
      <w:r w:rsidR="00214761">
        <w:rPr>
          <w:sz w:val="24"/>
          <w:szCs w:val="24"/>
          <w:lang w:val="lt-LT"/>
        </w:rPr>
        <w:t>. S</w:t>
      </w:r>
      <w:proofErr w:type="spellStart"/>
      <w:r w:rsidR="00214761" w:rsidRPr="00214761">
        <w:rPr>
          <w:sz w:val="24"/>
          <w:szCs w:val="24"/>
        </w:rPr>
        <w:t>ąvokos</w:t>
      </w:r>
      <w:proofErr w:type="spellEnd"/>
      <w:r w:rsidR="00214761" w:rsidRPr="00214761">
        <w:rPr>
          <w:sz w:val="24"/>
          <w:szCs w:val="24"/>
        </w:rPr>
        <w:t xml:space="preserve"> „finansavimo struktūrizavimas“ ir „praktinis įgyvendinimas“ pirkimo objekto kontekste turėtų būti suprantamos įprastai teisinėje ir ES fondų, fondų lėšomis finansuojamų priemonių įgyvendinimo praktikoje suprantama prasme:</w:t>
      </w:r>
    </w:p>
    <w:p w14:paraId="3F96CD36" w14:textId="77777777" w:rsidR="00214761" w:rsidRPr="00214761" w:rsidRDefault="00214761" w:rsidP="00214761">
      <w:pPr>
        <w:ind w:firstLine="851"/>
        <w:jc w:val="both"/>
        <w:rPr>
          <w:color w:val="000000"/>
          <w:sz w:val="24"/>
          <w:szCs w:val="24"/>
          <w:shd w:val="clear" w:color="auto" w:fill="FFFFFF"/>
          <w:lang w:val="x-none"/>
        </w:rPr>
      </w:pPr>
      <w:r w:rsidRPr="00214761">
        <w:rPr>
          <w:b/>
          <w:bCs/>
          <w:color w:val="000000"/>
          <w:sz w:val="24"/>
          <w:szCs w:val="24"/>
          <w:shd w:val="clear" w:color="auto" w:fill="FFFFFF"/>
          <w:lang w:val="x-none"/>
        </w:rPr>
        <w:t>Finansavimo struktūrizavimas</w:t>
      </w:r>
      <w:r w:rsidRPr="00214761">
        <w:rPr>
          <w:color w:val="000000"/>
          <w:sz w:val="24"/>
          <w:szCs w:val="24"/>
          <w:shd w:val="clear" w:color="auto" w:fill="FFFFFF"/>
          <w:lang w:val="x-none"/>
        </w:rPr>
        <w:t xml:space="preserve"> – tai teisinių paslaugų teikimas, įskaitant teisinį vertinimą, reikalingų dokumentų parengimą, susijęs su Europos struktūrinių ir investicinių fondų finansavimo schemų (pvz., dotacijų, subsidijų, paskolų, kombinavimo mechanizmų ir pan.) vertinimu, analize, įgyvendinimu pagal galiojančius ES ir nacionalinius teisės aktus.</w:t>
      </w:r>
      <w:r w:rsidRPr="00214761">
        <w:rPr>
          <w:color w:val="000000"/>
          <w:sz w:val="24"/>
          <w:szCs w:val="24"/>
          <w:shd w:val="clear" w:color="auto" w:fill="FFFFFF"/>
          <w:lang w:val="x-none"/>
        </w:rPr>
        <w:br/>
        <w:t>Tai gali apimti, pavyzdžiui:</w:t>
      </w:r>
    </w:p>
    <w:p w14:paraId="174B6477" w14:textId="77777777" w:rsidR="00214761" w:rsidRPr="00214761" w:rsidRDefault="00214761" w:rsidP="00214761">
      <w:pPr>
        <w:pStyle w:val="Sraopastraipa"/>
        <w:numPr>
          <w:ilvl w:val="0"/>
          <w:numId w:val="8"/>
        </w:numPr>
        <w:suppressAutoHyphens/>
        <w:jc w:val="both"/>
        <w:rPr>
          <w:color w:val="000000"/>
          <w:sz w:val="24"/>
          <w:szCs w:val="24"/>
          <w:shd w:val="clear" w:color="auto" w:fill="FFFFFF"/>
          <w:lang w:val="x-none"/>
        </w:rPr>
      </w:pPr>
      <w:r w:rsidRPr="00214761">
        <w:rPr>
          <w:color w:val="000000"/>
          <w:sz w:val="24"/>
          <w:szCs w:val="24"/>
          <w:shd w:val="clear" w:color="auto" w:fill="FFFFFF"/>
          <w:lang w:val="x-none"/>
        </w:rPr>
        <w:t>Teisinį įvertinimą, konsultavimą dėl finansavimo modelio pasirinkimo ar jo teisinio pagrįstumo įgyvendinant Europos struktūrinių ir investicinių fondų steigimo ir įgyvendinimo dokumentuose nustatytas sąlygas ir reikalingų dokumentų parengimą.</w:t>
      </w:r>
    </w:p>
    <w:p w14:paraId="4259E686" w14:textId="77777777" w:rsidR="00214761" w:rsidRPr="00214761" w:rsidRDefault="00214761" w:rsidP="00214761">
      <w:pPr>
        <w:pStyle w:val="Sraopastraipa"/>
        <w:numPr>
          <w:ilvl w:val="0"/>
          <w:numId w:val="8"/>
        </w:numPr>
        <w:suppressAutoHyphens/>
        <w:jc w:val="both"/>
        <w:rPr>
          <w:color w:val="000000"/>
          <w:sz w:val="24"/>
          <w:szCs w:val="24"/>
          <w:shd w:val="clear" w:color="auto" w:fill="FFFFFF"/>
          <w:lang w:val="x-none"/>
        </w:rPr>
      </w:pPr>
      <w:r w:rsidRPr="00214761">
        <w:rPr>
          <w:color w:val="000000"/>
          <w:sz w:val="24"/>
          <w:szCs w:val="24"/>
          <w:shd w:val="clear" w:color="auto" w:fill="FFFFFF"/>
          <w:lang w:val="x-none"/>
        </w:rPr>
        <w:t>Teisinės atitikties vertinimą rengiant Europos struktūrinių ir investicinių fondų priemonių ir (ar) projektų įgyvendinimo dokumentus ir susijusių dokumentų parengimą.</w:t>
      </w:r>
    </w:p>
    <w:p w14:paraId="0DED6C7D" w14:textId="77777777" w:rsidR="00214761" w:rsidRPr="00214761" w:rsidRDefault="00214761" w:rsidP="00214761">
      <w:pPr>
        <w:numPr>
          <w:ilvl w:val="1"/>
          <w:numId w:val="7"/>
        </w:numPr>
        <w:suppressAutoHyphens/>
        <w:jc w:val="both"/>
        <w:rPr>
          <w:color w:val="000000"/>
          <w:sz w:val="24"/>
          <w:szCs w:val="24"/>
          <w:shd w:val="clear" w:color="auto" w:fill="FFFFFF"/>
          <w:lang w:val="x-none"/>
        </w:rPr>
      </w:pPr>
      <w:r w:rsidRPr="00214761">
        <w:rPr>
          <w:color w:val="000000"/>
          <w:sz w:val="24"/>
          <w:szCs w:val="24"/>
          <w:shd w:val="clear" w:color="auto" w:fill="FFFFFF"/>
          <w:lang w:val="x-none"/>
        </w:rPr>
        <w:t>ir pan.</w:t>
      </w:r>
    </w:p>
    <w:p w14:paraId="6867A7A9" w14:textId="77777777" w:rsidR="00214761" w:rsidRPr="00214761" w:rsidRDefault="00214761" w:rsidP="00214761">
      <w:pPr>
        <w:ind w:firstLine="851"/>
        <w:jc w:val="both"/>
        <w:rPr>
          <w:color w:val="000000"/>
          <w:sz w:val="24"/>
          <w:szCs w:val="24"/>
          <w:shd w:val="clear" w:color="auto" w:fill="FFFFFF"/>
          <w:lang w:val="x-none"/>
        </w:rPr>
      </w:pPr>
      <w:r w:rsidRPr="00214761">
        <w:rPr>
          <w:b/>
          <w:bCs/>
          <w:color w:val="000000"/>
          <w:sz w:val="24"/>
          <w:szCs w:val="24"/>
          <w:shd w:val="clear" w:color="auto" w:fill="FFFFFF"/>
          <w:lang w:val="x-none"/>
        </w:rPr>
        <w:t xml:space="preserve">Praktinis įgyvendinimas </w:t>
      </w:r>
      <w:r w:rsidRPr="00214761">
        <w:rPr>
          <w:color w:val="000000"/>
          <w:sz w:val="24"/>
          <w:szCs w:val="24"/>
          <w:shd w:val="clear" w:color="auto" w:fill="FFFFFF"/>
          <w:lang w:val="x-none"/>
        </w:rPr>
        <w:t>– tai teisinių paslaugų teikimas, įskaitant teisinį vertinimą ir reikalingų dokumentų parengimą, Europos struktūrinių ir investicinių fondų ir jų priemonių įgyvendinimo etapuose, kai taikoma ir interpretuojama ES ir nacionalinė teisinė bazė, pvz.:</w:t>
      </w:r>
    </w:p>
    <w:p w14:paraId="6B97FDB2" w14:textId="77777777" w:rsidR="00214761" w:rsidRPr="00214761" w:rsidRDefault="00214761" w:rsidP="00214761">
      <w:pPr>
        <w:pStyle w:val="Sraopastraipa"/>
        <w:numPr>
          <w:ilvl w:val="0"/>
          <w:numId w:val="8"/>
        </w:numPr>
        <w:suppressAutoHyphens/>
        <w:jc w:val="both"/>
        <w:rPr>
          <w:color w:val="000000"/>
          <w:sz w:val="24"/>
          <w:szCs w:val="24"/>
          <w:shd w:val="clear" w:color="auto" w:fill="FFFFFF"/>
          <w:lang w:val="x-none"/>
        </w:rPr>
      </w:pPr>
      <w:r w:rsidRPr="00214761">
        <w:rPr>
          <w:color w:val="000000"/>
          <w:sz w:val="24"/>
          <w:szCs w:val="24"/>
          <w:shd w:val="clear" w:color="auto" w:fill="FFFFFF"/>
          <w:lang w:val="x-none"/>
        </w:rPr>
        <w:t>Teisinės išvados dėl Europos struktūrinių ir investicinių fondų steigimo ir įgyvendinimo dokumentuose,  numatytų sąlygų tinkamo taikymo.</w:t>
      </w:r>
    </w:p>
    <w:p w14:paraId="40EC86CE" w14:textId="77777777" w:rsidR="00214761" w:rsidRPr="00214761" w:rsidRDefault="00214761" w:rsidP="00214761">
      <w:pPr>
        <w:pStyle w:val="Sraopastraipa"/>
        <w:numPr>
          <w:ilvl w:val="0"/>
          <w:numId w:val="8"/>
        </w:numPr>
        <w:suppressAutoHyphens/>
        <w:jc w:val="both"/>
        <w:rPr>
          <w:color w:val="000000"/>
          <w:sz w:val="24"/>
          <w:szCs w:val="24"/>
          <w:shd w:val="clear" w:color="auto" w:fill="FFFFFF"/>
          <w:lang w:val="x-none"/>
        </w:rPr>
      </w:pPr>
      <w:r w:rsidRPr="00214761">
        <w:rPr>
          <w:color w:val="000000"/>
          <w:sz w:val="24"/>
          <w:szCs w:val="24"/>
          <w:shd w:val="clear" w:color="auto" w:fill="FFFFFF"/>
          <w:lang w:val="x-none"/>
        </w:rPr>
        <w:t>Teisinės konsultacijos dėl Europos struktūrinių ir investicinių fondų steigimo ir įgyvendinimo dokumentuose numatytų programų, projektų ir išlaidų tinkamumo reikalavimų tinkamo išpildymo.</w:t>
      </w:r>
    </w:p>
    <w:p w14:paraId="4CFC7177" w14:textId="77777777" w:rsidR="00214761" w:rsidRPr="00214761" w:rsidRDefault="00214761" w:rsidP="00214761">
      <w:pPr>
        <w:pStyle w:val="Sraopastraipa"/>
        <w:numPr>
          <w:ilvl w:val="0"/>
          <w:numId w:val="8"/>
        </w:numPr>
        <w:suppressAutoHyphens/>
        <w:jc w:val="both"/>
        <w:rPr>
          <w:color w:val="000000"/>
          <w:sz w:val="24"/>
          <w:szCs w:val="24"/>
          <w:shd w:val="clear" w:color="auto" w:fill="FFFFFF"/>
          <w:lang w:val="x-none"/>
        </w:rPr>
      </w:pPr>
      <w:r w:rsidRPr="00214761">
        <w:rPr>
          <w:color w:val="000000"/>
          <w:sz w:val="24"/>
          <w:szCs w:val="24"/>
          <w:shd w:val="clear" w:color="auto" w:fill="FFFFFF"/>
          <w:lang w:val="x-none"/>
        </w:rPr>
        <w:t>Atitikties, pažeidimų prevencijos ar teisės aktų taikymo klausimai Europos struktūrinių ir investicinių fondų ir fondų lėšomis finansuojamų priemonių ir projektų administravimo ar įgyvendinimo metu.</w:t>
      </w:r>
    </w:p>
    <w:p w14:paraId="0B99B9E6" w14:textId="77777777" w:rsidR="00214761" w:rsidRPr="00214761" w:rsidRDefault="00214761" w:rsidP="00214761">
      <w:pPr>
        <w:pStyle w:val="Sraopastraipa"/>
        <w:numPr>
          <w:ilvl w:val="0"/>
          <w:numId w:val="8"/>
        </w:numPr>
        <w:suppressAutoHyphens/>
        <w:jc w:val="both"/>
        <w:rPr>
          <w:color w:val="000000"/>
          <w:sz w:val="24"/>
          <w:szCs w:val="24"/>
          <w:shd w:val="clear" w:color="auto" w:fill="FFFFFF"/>
          <w:lang w:val="x-none"/>
        </w:rPr>
      </w:pPr>
      <w:r w:rsidRPr="00214761">
        <w:rPr>
          <w:color w:val="000000"/>
          <w:sz w:val="24"/>
          <w:szCs w:val="24"/>
          <w:shd w:val="clear" w:color="auto" w:fill="FFFFFF"/>
          <w:lang w:val="x-none"/>
        </w:rPr>
        <w:t>ir pan.</w:t>
      </w:r>
    </w:p>
    <w:p w14:paraId="237D73F7" w14:textId="4C84D09A" w:rsidR="00214761" w:rsidRPr="00214761" w:rsidRDefault="00214761" w:rsidP="00214761">
      <w:pPr>
        <w:ind w:firstLine="851"/>
        <w:jc w:val="both"/>
        <w:rPr>
          <w:color w:val="000000"/>
          <w:sz w:val="24"/>
          <w:szCs w:val="24"/>
          <w:shd w:val="clear" w:color="auto" w:fill="FFFFFF"/>
          <w:lang w:val="x-none"/>
        </w:rPr>
      </w:pPr>
      <w:r w:rsidRPr="00214761">
        <w:rPr>
          <w:color w:val="000000"/>
          <w:sz w:val="24"/>
          <w:szCs w:val="24"/>
          <w:shd w:val="clear" w:color="auto" w:fill="FFFFFF"/>
          <w:lang w:val="x-none"/>
        </w:rPr>
        <w:t>Atkreiptinas dėmesys, kad pateiktas paaiškinimas ir pavyzdžiai jokiu būdu nekeičia pirkimo sąlygų</w:t>
      </w:r>
      <w:r>
        <w:rPr>
          <w:color w:val="000000"/>
          <w:sz w:val="24"/>
          <w:szCs w:val="24"/>
          <w:shd w:val="clear" w:color="auto" w:fill="FFFFFF"/>
          <w:lang w:val="x-none"/>
        </w:rPr>
        <w:t xml:space="preserve"> reikalavimų</w:t>
      </w:r>
      <w:r w:rsidRPr="00214761">
        <w:rPr>
          <w:color w:val="000000"/>
          <w:sz w:val="24"/>
          <w:szCs w:val="24"/>
          <w:shd w:val="clear" w:color="auto" w:fill="FFFFFF"/>
          <w:lang w:val="x-none"/>
        </w:rPr>
        <w:t>.</w:t>
      </w:r>
    </w:p>
    <w:p w14:paraId="1ED6822E" w14:textId="77777777" w:rsidR="00214761" w:rsidRPr="00214761" w:rsidRDefault="00214761" w:rsidP="00214761">
      <w:pPr>
        <w:ind w:firstLine="851"/>
        <w:jc w:val="both"/>
        <w:rPr>
          <w:color w:val="000000"/>
          <w:sz w:val="24"/>
          <w:szCs w:val="24"/>
          <w:shd w:val="clear" w:color="auto" w:fill="FFFFFF"/>
          <w:lang w:val="x-none"/>
        </w:rPr>
      </w:pPr>
      <w:r w:rsidRPr="00214761">
        <w:rPr>
          <w:color w:val="000000"/>
          <w:sz w:val="24"/>
          <w:szCs w:val="24"/>
          <w:shd w:val="clear" w:color="auto" w:fill="FFFFFF"/>
          <w:lang w:val="x-none"/>
        </w:rPr>
        <w:t>Taip pat paaiškiname, kad pagrindžiant atitikimą minimaliam kvalifikaciniam reikalavimui Tiekėjui pakanka turėti patirties teikiant paslaugas dėl bent vieno Europos struktūrinio ir investicinio fondo.</w:t>
      </w:r>
    </w:p>
    <w:p w14:paraId="43E990B6" w14:textId="77777777" w:rsidR="00E12F92" w:rsidRPr="00214761" w:rsidRDefault="00E12F92" w:rsidP="00E12F92">
      <w:pPr>
        <w:pStyle w:val="TEXTAS1"/>
        <w:tabs>
          <w:tab w:val="clear" w:pos="1134"/>
          <w:tab w:val="left" w:pos="567"/>
        </w:tabs>
        <w:ind w:left="0" w:firstLine="567"/>
        <w:rPr>
          <w:sz w:val="24"/>
          <w:szCs w:val="24"/>
          <w:lang w:val="lt-LT"/>
        </w:rPr>
      </w:pPr>
    </w:p>
    <w:p w14:paraId="1001FAA9" w14:textId="72617ECA" w:rsidR="00012F6E" w:rsidRPr="00214761" w:rsidRDefault="00012F6E" w:rsidP="00E12F92">
      <w:pPr>
        <w:pStyle w:val="TEXTAS1"/>
        <w:tabs>
          <w:tab w:val="clear" w:pos="1134"/>
          <w:tab w:val="left" w:pos="567"/>
        </w:tabs>
        <w:ind w:left="0" w:firstLine="567"/>
        <w:rPr>
          <w:rFonts w:eastAsia="Calibri"/>
          <w:color w:val="000000"/>
          <w:sz w:val="24"/>
          <w:szCs w:val="24"/>
          <w:lang w:eastAsia="en-US"/>
        </w:rPr>
      </w:pPr>
    </w:p>
    <w:p w14:paraId="70A01A82" w14:textId="77777777" w:rsidR="006B16BF" w:rsidRDefault="006B16BF" w:rsidP="00A3666D">
      <w:pPr>
        <w:widowControl w:val="0"/>
        <w:tabs>
          <w:tab w:val="left" w:pos="284"/>
          <w:tab w:val="left" w:pos="567"/>
          <w:tab w:val="left" w:pos="1985"/>
        </w:tabs>
        <w:jc w:val="both"/>
        <w:rPr>
          <w:bCs/>
          <w:sz w:val="24"/>
          <w:szCs w:val="24"/>
        </w:rPr>
      </w:pPr>
    </w:p>
    <w:p w14:paraId="4F74224F" w14:textId="77777777" w:rsidR="006B16BF" w:rsidRPr="003F30F9" w:rsidRDefault="006B16BF" w:rsidP="00A3666D">
      <w:pPr>
        <w:widowControl w:val="0"/>
        <w:tabs>
          <w:tab w:val="left" w:pos="284"/>
          <w:tab w:val="left" w:pos="567"/>
          <w:tab w:val="left" w:pos="1985"/>
        </w:tabs>
        <w:jc w:val="both"/>
        <w:rPr>
          <w:bCs/>
          <w:sz w:val="24"/>
          <w:szCs w:val="24"/>
        </w:rPr>
      </w:pPr>
    </w:p>
    <w:p w14:paraId="0C10067A" w14:textId="77777777" w:rsidR="00A3666D" w:rsidRPr="003F30F9" w:rsidRDefault="00A3666D" w:rsidP="00A3666D">
      <w:pPr>
        <w:widowControl w:val="0"/>
        <w:tabs>
          <w:tab w:val="left" w:pos="284"/>
          <w:tab w:val="left" w:pos="567"/>
          <w:tab w:val="left" w:pos="1985"/>
        </w:tabs>
        <w:jc w:val="both"/>
        <w:rPr>
          <w:bCs/>
          <w:sz w:val="24"/>
          <w:szCs w:val="24"/>
        </w:rPr>
      </w:pPr>
    </w:p>
    <w:p w14:paraId="22A67299" w14:textId="1CFA61C0" w:rsidR="006B16BF" w:rsidRDefault="00A3666D" w:rsidP="00214761">
      <w:pPr>
        <w:widowControl w:val="0"/>
        <w:tabs>
          <w:tab w:val="left" w:pos="284"/>
          <w:tab w:val="left" w:pos="567"/>
          <w:tab w:val="left" w:pos="1985"/>
        </w:tabs>
        <w:jc w:val="right"/>
      </w:pPr>
      <w:r w:rsidRPr="003F30F9">
        <w:rPr>
          <w:bCs/>
          <w:sz w:val="24"/>
          <w:szCs w:val="24"/>
        </w:rPr>
        <w:t>Viešųjų pirkimų komisija</w:t>
      </w:r>
    </w:p>
    <w:sectPr w:rsidR="006B16BF" w:rsidSect="00A3666D">
      <w:footerReference w:type="default" r:id="rId7"/>
      <w:footerReference w:type="first" r:id="rId8"/>
      <w:pgSz w:w="11906" w:h="16838"/>
      <w:pgMar w:top="993" w:right="567" w:bottom="1134" w:left="1701" w:header="567"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D0BA3" w14:textId="77777777" w:rsidR="00AA00FA" w:rsidRDefault="00AA00FA">
      <w:r>
        <w:separator/>
      </w:r>
    </w:p>
  </w:endnote>
  <w:endnote w:type="continuationSeparator" w:id="0">
    <w:p w14:paraId="149AFB64" w14:textId="77777777" w:rsidR="00AA00FA" w:rsidRDefault="00AA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141754"/>
      <w:docPartObj>
        <w:docPartGallery w:val="Page Numbers (Bottom of Page)"/>
        <w:docPartUnique/>
      </w:docPartObj>
    </w:sdtPr>
    <w:sdtContent>
      <w:p w14:paraId="55412DD3" w14:textId="77777777" w:rsidR="005E3993" w:rsidRPr="003F30F9" w:rsidRDefault="00000000">
        <w:pPr>
          <w:pStyle w:val="Porat"/>
          <w:jc w:val="right"/>
        </w:pPr>
        <w:r w:rsidRPr="003F30F9">
          <w:fldChar w:fldCharType="begin"/>
        </w:r>
        <w:r w:rsidRPr="003F30F9">
          <w:instrText>PAGE   \* MERGEFORMAT</w:instrText>
        </w:r>
        <w:r w:rsidRPr="003F30F9">
          <w:fldChar w:fldCharType="separate"/>
        </w:r>
        <w:r w:rsidRPr="003F30F9">
          <w:t>2</w:t>
        </w:r>
        <w:r w:rsidRPr="003F30F9">
          <w:fldChar w:fldCharType="end"/>
        </w:r>
      </w:p>
    </w:sdtContent>
  </w:sdt>
  <w:p w14:paraId="4087D84F" w14:textId="77777777" w:rsidR="005E3993" w:rsidRPr="003F30F9" w:rsidRDefault="005E399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B2DB" w14:textId="77777777" w:rsidR="005E3993" w:rsidRPr="003F30F9" w:rsidRDefault="005E3993" w:rsidP="00B97A2A">
    <w:pPr>
      <w:pStyle w:val="Porat"/>
    </w:pPr>
  </w:p>
  <w:p w14:paraId="73794583" w14:textId="77777777" w:rsidR="005E3993" w:rsidRPr="003F30F9" w:rsidRDefault="005E3993" w:rsidP="00B97A2A">
    <w:pPr>
      <w:pStyle w:val="Porat"/>
    </w:pPr>
  </w:p>
  <w:p w14:paraId="0E6C9726" w14:textId="77777777" w:rsidR="005E3993" w:rsidRPr="003F30F9" w:rsidRDefault="005E3993" w:rsidP="00B97A2A">
    <w:pPr>
      <w:pStyle w:val="Porat"/>
    </w:pPr>
  </w:p>
  <w:p w14:paraId="76EF3749" w14:textId="77777777" w:rsidR="005E3993" w:rsidRPr="003F30F9" w:rsidRDefault="005E3993" w:rsidP="00B97A2A">
    <w:pPr>
      <w:pStyle w:val="Porat"/>
    </w:pPr>
  </w:p>
  <w:p w14:paraId="5228EB59" w14:textId="77777777" w:rsidR="005E3993" w:rsidRPr="003F30F9" w:rsidRDefault="005E3993" w:rsidP="00B97A2A">
    <w:pPr>
      <w:pStyle w:val="Porat"/>
    </w:pPr>
  </w:p>
  <w:p w14:paraId="06D98AAE" w14:textId="77777777" w:rsidR="005E3993" w:rsidRPr="003F30F9" w:rsidRDefault="005E3993" w:rsidP="00BD1683">
    <w:pPr>
      <w:spacing w:line="20" w:lineRule="atLeast"/>
      <w:rPr>
        <w:sz w:val="16"/>
        <w:szCs w:val="16"/>
      </w:rPr>
    </w:pPr>
  </w:p>
  <w:p w14:paraId="62A9E46A" w14:textId="77777777" w:rsidR="005E3993" w:rsidRPr="003F30F9" w:rsidRDefault="005E3993" w:rsidP="00BD1683">
    <w:pPr>
      <w:tabs>
        <w:tab w:val="left" w:pos="7425"/>
      </w:tabs>
      <w:spacing w:line="20" w:lineRule="atLeast"/>
      <w:rPr>
        <w:sz w:val="16"/>
        <w:szCs w:val="16"/>
      </w:rPr>
    </w:pPr>
  </w:p>
  <w:p w14:paraId="2AACA0FC" w14:textId="77777777" w:rsidR="005E3993" w:rsidRPr="003F30F9" w:rsidRDefault="005E39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58C26" w14:textId="77777777" w:rsidR="00AA00FA" w:rsidRDefault="00AA00FA">
      <w:r>
        <w:separator/>
      </w:r>
    </w:p>
  </w:footnote>
  <w:footnote w:type="continuationSeparator" w:id="0">
    <w:p w14:paraId="06E57E71" w14:textId="77777777" w:rsidR="00AA00FA" w:rsidRDefault="00AA0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C1E85"/>
    <w:multiLevelType w:val="multilevel"/>
    <w:tmpl w:val="91086954"/>
    <w:lvl w:ilvl="0">
      <w:start w:val="1"/>
      <w:numFmt w:val="decimal"/>
      <w:lvlText w:val="%1."/>
      <w:lvlJc w:val="left"/>
      <w:pPr>
        <w:ind w:left="1069" w:hanging="360"/>
      </w:pPr>
      <w:rPr>
        <w:rFonts w:hint="default"/>
        <w:b/>
      </w:rPr>
    </w:lvl>
    <w:lvl w:ilvl="1">
      <w:start w:val="1"/>
      <w:numFmt w:val="decimal"/>
      <w:isLgl/>
      <w:lvlText w:val="%1.%2."/>
      <w:lvlJc w:val="left"/>
      <w:pPr>
        <w:ind w:left="2149" w:hanging="360"/>
      </w:pPr>
      <w:rPr>
        <w:rFonts w:hint="default"/>
      </w:rPr>
    </w:lvl>
    <w:lvl w:ilvl="2">
      <w:start w:val="1"/>
      <w:numFmt w:val="decimal"/>
      <w:isLgl/>
      <w:lvlText w:val="%1.%2.%3."/>
      <w:lvlJc w:val="left"/>
      <w:pPr>
        <w:ind w:left="3589" w:hanging="720"/>
      </w:pPr>
      <w:rPr>
        <w:rFonts w:hint="default"/>
      </w:rPr>
    </w:lvl>
    <w:lvl w:ilvl="3">
      <w:start w:val="1"/>
      <w:numFmt w:val="decimal"/>
      <w:isLgl/>
      <w:lvlText w:val="%1.%2.%3.%4."/>
      <w:lvlJc w:val="left"/>
      <w:pPr>
        <w:ind w:left="4669" w:hanging="720"/>
      </w:pPr>
      <w:rPr>
        <w:rFonts w:hint="default"/>
      </w:rPr>
    </w:lvl>
    <w:lvl w:ilvl="4">
      <w:start w:val="1"/>
      <w:numFmt w:val="decimal"/>
      <w:isLgl/>
      <w:lvlText w:val="%1.%2.%3.%4.%5."/>
      <w:lvlJc w:val="left"/>
      <w:pPr>
        <w:ind w:left="6109" w:hanging="1080"/>
      </w:pPr>
      <w:rPr>
        <w:rFonts w:hint="default"/>
      </w:rPr>
    </w:lvl>
    <w:lvl w:ilvl="5">
      <w:start w:val="1"/>
      <w:numFmt w:val="decimal"/>
      <w:isLgl/>
      <w:lvlText w:val="%1.%2.%3.%4.%5.%6."/>
      <w:lvlJc w:val="left"/>
      <w:pPr>
        <w:ind w:left="7189" w:hanging="1080"/>
      </w:pPr>
      <w:rPr>
        <w:rFonts w:hint="default"/>
      </w:rPr>
    </w:lvl>
    <w:lvl w:ilvl="6">
      <w:start w:val="1"/>
      <w:numFmt w:val="decimal"/>
      <w:isLgl/>
      <w:lvlText w:val="%1.%2.%3.%4.%5.%6.%7."/>
      <w:lvlJc w:val="left"/>
      <w:pPr>
        <w:ind w:left="8629" w:hanging="1440"/>
      </w:pPr>
      <w:rPr>
        <w:rFonts w:hint="default"/>
      </w:rPr>
    </w:lvl>
    <w:lvl w:ilvl="7">
      <w:start w:val="1"/>
      <w:numFmt w:val="decimal"/>
      <w:isLgl/>
      <w:lvlText w:val="%1.%2.%3.%4.%5.%6.%7.%8."/>
      <w:lvlJc w:val="left"/>
      <w:pPr>
        <w:ind w:left="9709" w:hanging="1440"/>
      </w:pPr>
      <w:rPr>
        <w:rFonts w:hint="default"/>
      </w:rPr>
    </w:lvl>
    <w:lvl w:ilvl="8">
      <w:start w:val="1"/>
      <w:numFmt w:val="decimal"/>
      <w:isLgl/>
      <w:lvlText w:val="%1.%2.%3.%4.%5.%6.%7.%8.%9."/>
      <w:lvlJc w:val="left"/>
      <w:pPr>
        <w:ind w:left="11149" w:hanging="1800"/>
      </w:pPr>
      <w:rPr>
        <w:rFonts w:hint="default"/>
      </w:rPr>
    </w:lvl>
  </w:abstractNum>
  <w:abstractNum w:abstractNumId="1" w15:restartNumberingAfterBreak="0">
    <w:nsid w:val="30C93C55"/>
    <w:multiLevelType w:val="hybridMultilevel"/>
    <w:tmpl w:val="E30CF84E"/>
    <w:lvl w:ilvl="0" w:tplc="126AAED6">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484B98"/>
    <w:multiLevelType w:val="multilevel"/>
    <w:tmpl w:val="2FAE7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hAnsi="Calibri"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4F5FF5"/>
    <w:multiLevelType w:val="hybridMultilevel"/>
    <w:tmpl w:val="D458AC8E"/>
    <w:lvl w:ilvl="0" w:tplc="3CE0D9A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9C25F99"/>
    <w:multiLevelType w:val="hybridMultilevel"/>
    <w:tmpl w:val="C26C3F6A"/>
    <w:lvl w:ilvl="0" w:tplc="C28E6A56">
      <w:start w:val="1"/>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567A53DD"/>
    <w:multiLevelType w:val="hybridMultilevel"/>
    <w:tmpl w:val="EB76A486"/>
    <w:lvl w:ilvl="0" w:tplc="FFFFFFFF">
      <w:start w:val="1"/>
      <w:numFmt w:val="lowerLetter"/>
      <w:lvlText w:val="%1)"/>
      <w:lvlJc w:val="left"/>
      <w:pPr>
        <w:ind w:left="927" w:hanging="360"/>
      </w:pPr>
      <w:rPr>
        <w:rFonts w:eastAsia="Times New Roman" w:hint="default"/>
        <w:b/>
        <w:color w:val="auto"/>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61037991"/>
    <w:multiLevelType w:val="hybridMultilevel"/>
    <w:tmpl w:val="EB76A486"/>
    <w:lvl w:ilvl="0" w:tplc="17C07DA0">
      <w:start w:val="1"/>
      <w:numFmt w:val="lowerLetter"/>
      <w:lvlText w:val="%1)"/>
      <w:lvlJc w:val="left"/>
      <w:pPr>
        <w:ind w:left="927" w:hanging="360"/>
      </w:pPr>
      <w:rPr>
        <w:rFonts w:eastAsia="Times New Roman" w:hint="default"/>
        <w:b/>
        <w:color w:val="auto"/>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1076AB8"/>
    <w:multiLevelType w:val="hybridMultilevel"/>
    <w:tmpl w:val="EB804F14"/>
    <w:lvl w:ilvl="0" w:tplc="992EF2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87166C8"/>
    <w:multiLevelType w:val="hybridMultilevel"/>
    <w:tmpl w:val="3AF4351A"/>
    <w:lvl w:ilvl="0" w:tplc="91922C9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608073708">
    <w:abstractNumId w:val="6"/>
  </w:num>
  <w:num w:numId="2" w16cid:durableId="174346638">
    <w:abstractNumId w:val="5"/>
  </w:num>
  <w:num w:numId="3" w16cid:durableId="1111975901">
    <w:abstractNumId w:val="7"/>
  </w:num>
  <w:num w:numId="4" w16cid:durableId="502085298">
    <w:abstractNumId w:val="1"/>
  </w:num>
  <w:num w:numId="5" w16cid:durableId="1821843829">
    <w:abstractNumId w:val="0"/>
  </w:num>
  <w:num w:numId="6" w16cid:durableId="954949435">
    <w:abstractNumId w:val="3"/>
  </w:num>
  <w:num w:numId="7" w16cid:durableId="508982458">
    <w:abstractNumId w:val="2"/>
  </w:num>
  <w:num w:numId="8" w16cid:durableId="1509128949">
    <w:abstractNumId w:val="4"/>
  </w:num>
  <w:num w:numId="9" w16cid:durableId="19350169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6D"/>
    <w:rsid w:val="00012F6E"/>
    <w:rsid w:val="00047B5D"/>
    <w:rsid w:val="000664CF"/>
    <w:rsid w:val="00070C29"/>
    <w:rsid w:val="000B29A1"/>
    <w:rsid w:val="00131E43"/>
    <w:rsid w:val="001326DF"/>
    <w:rsid w:val="001656EC"/>
    <w:rsid w:val="001E64C9"/>
    <w:rsid w:val="00214761"/>
    <w:rsid w:val="00287A78"/>
    <w:rsid w:val="003B3C93"/>
    <w:rsid w:val="003E5643"/>
    <w:rsid w:val="004965FA"/>
    <w:rsid w:val="004C60C4"/>
    <w:rsid w:val="00515CA7"/>
    <w:rsid w:val="00524CEC"/>
    <w:rsid w:val="005E3993"/>
    <w:rsid w:val="006550EA"/>
    <w:rsid w:val="006B16BF"/>
    <w:rsid w:val="00707171"/>
    <w:rsid w:val="007575B8"/>
    <w:rsid w:val="0078264C"/>
    <w:rsid w:val="007B5FD1"/>
    <w:rsid w:val="007C04DB"/>
    <w:rsid w:val="00894EE7"/>
    <w:rsid w:val="008A3A28"/>
    <w:rsid w:val="008D394D"/>
    <w:rsid w:val="008D52C8"/>
    <w:rsid w:val="009238DF"/>
    <w:rsid w:val="009241F7"/>
    <w:rsid w:val="00A07DB2"/>
    <w:rsid w:val="00A239EC"/>
    <w:rsid w:val="00A3666D"/>
    <w:rsid w:val="00A44261"/>
    <w:rsid w:val="00AA00FA"/>
    <w:rsid w:val="00C17B19"/>
    <w:rsid w:val="00C67743"/>
    <w:rsid w:val="00CF2FA9"/>
    <w:rsid w:val="00DC00BD"/>
    <w:rsid w:val="00DF3CE4"/>
    <w:rsid w:val="00E12F92"/>
    <w:rsid w:val="00F51C47"/>
    <w:rsid w:val="00FB49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DED1"/>
  <w15:chartTrackingRefBased/>
  <w15:docId w15:val="{0770BF92-D909-4629-9E45-BBADB91F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66D"/>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A36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36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3666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3666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3666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3666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666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666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666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66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366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366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366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366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366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66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366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66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3666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66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66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66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66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66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ist L1,Lent"/>
    <w:basedOn w:val="prastasis"/>
    <w:link w:val="SraopastraipaDiagrama"/>
    <w:uiPriority w:val="99"/>
    <w:qFormat/>
    <w:rsid w:val="00A3666D"/>
    <w:pPr>
      <w:ind w:left="720"/>
      <w:contextualSpacing/>
    </w:pPr>
  </w:style>
  <w:style w:type="character" w:styleId="Rykuspabraukimas">
    <w:name w:val="Intense Emphasis"/>
    <w:basedOn w:val="Numatytasispastraiposriftas"/>
    <w:uiPriority w:val="21"/>
    <w:qFormat/>
    <w:rsid w:val="00A3666D"/>
    <w:rPr>
      <w:i/>
      <w:iCs/>
      <w:color w:val="0F4761" w:themeColor="accent1" w:themeShade="BF"/>
    </w:rPr>
  </w:style>
  <w:style w:type="paragraph" w:styleId="Iskirtacitata">
    <w:name w:val="Intense Quote"/>
    <w:basedOn w:val="prastasis"/>
    <w:next w:val="prastasis"/>
    <w:link w:val="IskirtacitataDiagrama"/>
    <w:uiPriority w:val="30"/>
    <w:qFormat/>
    <w:rsid w:val="00A36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3666D"/>
    <w:rPr>
      <w:i/>
      <w:iCs/>
      <w:color w:val="0F4761" w:themeColor="accent1" w:themeShade="BF"/>
    </w:rPr>
  </w:style>
  <w:style w:type="character" w:styleId="Rykinuoroda">
    <w:name w:val="Intense Reference"/>
    <w:basedOn w:val="Numatytasispastraiposriftas"/>
    <w:uiPriority w:val="32"/>
    <w:qFormat/>
    <w:rsid w:val="00A3666D"/>
    <w:rPr>
      <w:b/>
      <w:bCs/>
      <w:smallCaps/>
      <w:color w:val="0F4761" w:themeColor="accent1" w:themeShade="BF"/>
      <w:spacing w:val="5"/>
    </w:rPr>
  </w:style>
  <w:style w:type="paragraph" w:styleId="Porat">
    <w:name w:val="footer"/>
    <w:basedOn w:val="prastasis"/>
    <w:link w:val="PoratDiagrama"/>
    <w:uiPriority w:val="99"/>
    <w:unhideWhenUsed/>
    <w:rsid w:val="00A3666D"/>
    <w:pPr>
      <w:tabs>
        <w:tab w:val="center" w:pos="4819"/>
        <w:tab w:val="right" w:pos="9638"/>
      </w:tabs>
    </w:pPr>
  </w:style>
  <w:style w:type="character" w:customStyle="1" w:styleId="PoratDiagrama">
    <w:name w:val="Poraštė Diagrama"/>
    <w:basedOn w:val="Numatytasispastraiposriftas"/>
    <w:link w:val="Porat"/>
    <w:uiPriority w:val="99"/>
    <w:rsid w:val="00A3666D"/>
    <w:rPr>
      <w:rFonts w:ascii="Times New Roman" w:eastAsia="Times New Roman" w:hAnsi="Times New Roman" w:cs="Times New Roman"/>
      <w:kern w:val="0"/>
      <w:sz w:val="20"/>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3666D"/>
  </w:style>
  <w:style w:type="table" w:styleId="Lentelstinklelis">
    <w:name w:val="Table Grid"/>
    <w:basedOn w:val="prastojilentel"/>
    <w:uiPriority w:val="59"/>
    <w:rsid w:val="006B16B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707171"/>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707171"/>
    <w:rPr>
      <w:rFonts w:ascii="Calibri" w:eastAsia="Calibri" w:hAnsi="Calibri" w:cs="Times New Roman"/>
      <w:kern w:val="0"/>
      <w:sz w:val="22"/>
      <w:szCs w:val="22"/>
      <w14:ligatures w14:val="none"/>
    </w:rPr>
  </w:style>
  <w:style w:type="paragraph" w:customStyle="1" w:styleId="TEXTAS1">
    <w:name w:val="TEXTAS1"/>
    <w:basedOn w:val="prastasis"/>
    <w:link w:val="TEXTAS1Diagrama"/>
    <w:qFormat/>
    <w:rsid w:val="00012F6E"/>
    <w:pPr>
      <w:widowControl w:val="0"/>
      <w:tabs>
        <w:tab w:val="left" w:pos="1134"/>
      </w:tabs>
      <w:autoSpaceDE w:val="0"/>
      <w:autoSpaceDN w:val="0"/>
      <w:adjustRightInd w:val="0"/>
      <w:ind w:left="142"/>
      <w:jc w:val="both"/>
      <w:outlineLvl w:val="0"/>
    </w:pPr>
    <w:rPr>
      <w:kern w:val="16"/>
      <w:sz w:val="22"/>
      <w:szCs w:val="22"/>
      <w:lang w:val="x-none" w:eastAsia="ar-SA"/>
    </w:rPr>
  </w:style>
  <w:style w:type="character" w:customStyle="1" w:styleId="TEXTAS1Diagrama">
    <w:name w:val="TEXTAS1 Diagrama"/>
    <w:link w:val="TEXTAS1"/>
    <w:rsid w:val="00012F6E"/>
    <w:rPr>
      <w:rFonts w:ascii="Times New Roman" w:eastAsia="Times New Roman" w:hAnsi="Times New Roman" w:cs="Times New Roman"/>
      <w:kern w:val="16"/>
      <w:sz w:val="22"/>
      <w:szCs w:val="22"/>
      <w:lang w:val="x-none"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1691</Words>
  <Characters>965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Želvys</dc:creator>
  <cp:keywords/>
  <dc:description/>
  <cp:lastModifiedBy>Linas Želvys</cp:lastModifiedBy>
  <cp:revision>2</cp:revision>
  <cp:lastPrinted>2025-10-20T14:53:00Z</cp:lastPrinted>
  <dcterms:created xsi:type="dcterms:W3CDTF">2025-10-20T17:31:00Z</dcterms:created>
  <dcterms:modified xsi:type="dcterms:W3CDTF">2025-10-20T17:31:00Z</dcterms:modified>
</cp:coreProperties>
</file>