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7B28" w14:textId="77777777" w:rsidR="000C6A0C" w:rsidRPr="000C6A0C" w:rsidRDefault="000C6A0C" w:rsidP="000C6A0C">
      <w:pPr>
        <w:keepNext/>
        <w:keepLines/>
        <w:pBdr>
          <w:bottom w:val="single" w:sz="4" w:space="2" w:color="ED7D31"/>
        </w:pBdr>
        <w:spacing w:before="360" w:after="120" w:line="240" w:lineRule="auto"/>
        <w:ind w:firstLine="697"/>
        <w:jc w:val="right"/>
        <w:outlineLvl w:val="0"/>
        <w:rPr>
          <w:rFonts w:ascii="Times New Roman" w:eastAsia="Calibri Light" w:hAnsi="Times New Roman" w:cs="Times New Roman"/>
          <w:color w:val="262626"/>
          <w:kern w:val="0"/>
          <w:lang w:eastAsia="lt-LT"/>
          <w14:ligatures w14:val="none"/>
        </w:rPr>
      </w:pPr>
      <w:bookmarkStart w:id="0" w:name="_Toc210309872"/>
      <w:bookmarkStart w:id="1" w:name="_Hlk211860136"/>
      <w:r w:rsidRPr="000C6A0C">
        <w:rPr>
          <w:rFonts w:ascii="Times New Roman" w:eastAsia="Calibri Light" w:hAnsi="Times New Roman" w:cs="Times New Roman"/>
          <w:color w:val="262626"/>
          <w:kern w:val="0"/>
          <w:lang w:eastAsia="lt-LT"/>
          <w14:ligatures w14:val="none"/>
        </w:rPr>
        <w:t>Pirkimo sąlygų 3 priedas „Techninė specifikacija“</w:t>
      </w:r>
      <w:bookmarkEnd w:id="0"/>
    </w:p>
    <w:p w14:paraId="3F647A2F" w14:textId="77777777" w:rsidR="000C6A0C" w:rsidRPr="000C6A0C" w:rsidRDefault="000C6A0C" w:rsidP="000C6A0C">
      <w:pPr>
        <w:spacing w:after="0" w:line="300" w:lineRule="auto"/>
        <w:ind w:firstLine="697"/>
        <w:jc w:val="center"/>
        <w:rPr>
          <w:rFonts w:ascii="Times New Roman" w:eastAsia="Calibri" w:hAnsi="Times New Roman" w:cs="Times New Roman"/>
          <w:kern w:val="0"/>
          <w:sz w:val="28"/>
          <w:szCs w:val="28"/>
          <w:lang w:eastAsia="lt-LT"/>
          <w14:ligatures w14:val="none"/>
        </w:rPr>
      </w:pPr>
    </w:p>
    <w:p w14:paraId="0CB02FF3" w14:textId="77777777" w:rsidR="000C6A0C" w:rsidRPr="000C6A0C" w:rsidRDefault="000C6A0C" w:rsidP="000C6A0C">
      <w:pPr>
        <w:spacing w:after="0" w:line="240" w:lineRule="auto"/>
        <w:ind w:firstLine="697"/>
        <w:jc w:val="center"/>
        <w:rPr>
          <w:rFonts w:ascii="Times New Roman" w:eastAsia="Calibri" w:hAnsi="Times New Roman" w:cs="Times New Roman"/>
          <w:b/>
          <w:bCs/>
          <w:kern w:val="0"/>
          <w:lang w:eastAsia="lt-LT"/>
          <w14:ligatures w14:val="none"/>
        </w:rPr>
      </w:pPr>
      <w:bookmarkStart w:id="2" w:name="_Hlk194500662"/>
      <w:r w:rsidRPr="000C6A0C">
        <w:rPr>
          <w:rFonts w:ascii="Times New Roman" w:eastAsia="Calibri" w:hAnsi="Times New Roman" w:cs="Times New Roman"/>
          <w:b/>
          <w:bCs/>
          <w:kern w:val="0"/>
          <w:lang w:eastAsia="lt-LT"/>
          <w14:ligatures w14:val="none"/>
        </w:rPr>
        <w:t>TECHNINĖ SPECIFIKACIJA</w:t>
      </w:r>
    </w:p>
    <w:p w14:paraId="5E2C2CB5" w14:textId="77777777" w:rsidR="000C6A0C" w:rsidRPr="000C6A0C" w:rsidRDefault="000C6A0C" w:rsidP="000C6A0C">
      <w:pPr>
        <w:spacing w:after="0" w:line="300" w:lineRule="auto"/>
        <w:ind w:firstLine="697"/>
        <w:jc w:val="both"/>
        <w:rPr>
          <w:rFonts w:ascii="Times New Roman" w:eastAsia="Calibri" w:hAnsi="Times New Roman" w:cs="Times New Roman"/>
          <w:b/>
          <w:bCs/>
          <w:smallCaps/>
          <w:kern w:val="0"/>
          <w:sz w:val="22"/>
          <w:szCs w:val="22"/>
          <w:lang w:eastAsia="lt-LT"/>
          <w14:ligatures w14:val="none"/>
        </w:rPr>
      </w:pPr>
    </w:p>
    <w:p w14:paraId="5FBBF4C4" w14:textId="77777777" w:rsidR="000C6A0C" w:rsidRPr="000C6A0C" w:rsidRDefault="000C6A0C" w:rsidP="000C6A0C">
      <w:pPr>
        <w:autoSpaceDE w:val="0"/>
        <w:autoSpaceDN w:val="0"/>
        <w:adjustRightInd w:val="0"/>
        <w:spacing w:after="0" w:line="240" w:lineRule="auto"/>
        <w:ind w:firstLine="697"/>
        <w:jc w:val="center"/>
        <w:rPr>
          <w:rFonts w:ascii="Times New Roman" w:eastAsia="Calibri" w:hAnsi="Times New Roman" w:cs="Times New Roman"/>
          <w:b/>
          <w:kern w:val="0"/>
          <w:lang w:eastAsia="lt-LT"/>
          <w14:ligatures w14:val="none"/>
        </w:rPr>
      </w:pPr>
      <w:r w:rsidRPr="000C6A0C">
        <w:rPr>
          <w:rFonts w:ascii="Times New Roman" w:eastAsia="Calibri" w:hAnsi="Times New Roman" w:cs="Times New Roman"/>
          <w:b/>
          <w:kern w:val="0"/>
          <w:lang w:eastAsia="lt-LT"/>
          <w14:ligatures w14:val="none"/>
        </w:rPr>
        <w:t xml:space="preserve">REKOMENDACIJOS DĖL NAUJOSIOS LIETUVOS ŽEMĖS ŪKIO IR KAIMO PLĖTROS 2023–2027 M. </w:t>
      </w:r>
      <w:r w:rsidRPr="000C6A0C">
        <w:rPr>
          <w:rFonts w:ascii="Times New Roman" w:eastAsia="Calibri" w:hAnsi="Times New Roman" w:cs="Times New Roman"/>
          <w:b/>
          <w:caps/>
          <w:kern w:val="0"/>
          <w:lang w:eastAsia="lt-LT"/>
          <w14:ligatures w14:val="none"/>
        </w:rPr>
        <w:t xml:space="preserve">Strateginio plano klimatui, aplinkai ir gyvūnų gerovei naudingos sistemos (ekologinės sistemos), skirtos dirvožemio išteklių tvariam naudojimui, modeliavimo parengimo </w:t>
      </w:r>
    </w:p>
    <w:p w14:paraId="48A9FB50" w14:textId="77777777" w:rsidR="000C6A0C" w:rsidRPr="000C6A0C" w:rsidRDefault="000C6A0C" w:rsidP="000C6A0C">
      <w:pPr>
        <w:spacing w:after="0" w:line="300" w:lineRule="auto"/>
        <w:ind w:firstLine="697"/>
        <w:jc w:val="center"/>
        <w:rPr>
          <w:rFonts w:ascii="Times New Roman" w:eastAsia="Calibri" w:hAnsi="Times New Roman" w:cs="Times New Roman"/>
          <w:b/>
          <w:bCs/>
          <w:kern w:val="0"/>
          <w14:ligatures w14:val="none"/>
        </w:rPr>
      </w:pPr>
    </w:p>
    <w:p w14:paraId="3C1B0C6C" w14:textId="77777777" w:rsidR="000C6A0C" w:rsidRPr="000C6A0C" w:rsidRDefault="000C6A0C" w:rsidP="000C6A0C">
      <w:pPr>
        <w:spacing w:after="0" w:line="300" w:lineRule="auto"/>
        <w:ind w:firstLine="697"/>
        <w:jc w:val="center"/>
        <w:rPr>
          <w:rFonts w:ascii="Times New Roman" w:eastAsia="Times New Roman" w:hAnsi="Times New Roman" w:cs="Times New Roman"/>
          <w:b/>
          <w:bCs/>
          <w:kern w:val="0"/>
          <w:lang w:eastAsia="lt-LT"/>
          <w14:ligatures w14:val="none"/>
        </w:rPr>
      </w:pPr>
      <w:bookmarkStart w:id="3" w:name="_Toc163203556"/>
      <w:bookmarkStart w:id="4" w:name="_Toc199936492"/>
      <w:r w:rsidRPr="000C6A0C">
        <w:rPr>
          <w:rFonts w:ascii="Times New Roman" w:eastAsia="Times New Roman" w:hAnsi="Times New Roman" w:cs="Times New Roman"/>
          <w:b/>
          <w:bCs/>
          <w:kern w:val="0"/>
          <w:lang w:eastAsia="lt-LT"/>
          <w14:ligatures w14:val="none"/>
        </w:rPr>
        <w:t>I. BENDROSIOS NUOSTATOS</w:t>
      </w:r>
      <w:bookmarkEnd w:id="3"/>
      <w:bookmarkEnd w:id="4"/>
    </w:p>
    <w:p w14:paraId="74B85556" w14:textId="77777777" w:rsidR="000C6A0C" w:rsidRPr="000C6A0C" w:rsidRDefault="000C6A0C" w:rsidP="000C6A0C">
      <w:pPr>
        <w:numPr>
          <w:ilvl w:val="0"/>
          <w:numId w:val="1"/>
        </w:numPr>
        <w:tabs>
          <w:tab w:val="left" w:pos="993"/>
        </w:tabs>
        <w:spacing w:after="0" w:line="264" w:lineRule="auto"/>
        <w:ind w:left="0" w:firstLine="709"/>
        <w:contextualSpacing/>
        <w:jc w:val="both"/>
        <w:rPr>
          <w:rFonts w:ascii="Times New Roman" w:eastAsia="Calibri" w:hAnsi="Times New Roman" w:cs="Times New Roman"/>
          <w:kern w:val="0"/>
          <w14:ligatures w14:val="none"/>
        </w:rPr>
      </w:pPr>
      <w:bookmarkStart w:id="5" w:name="_Ref416781832"/>
      <w:r w:rsidRPr="000C6A0C">
        <w:rPr>
          <w:rFonts w:ascii="Times New Roman" w:eastAsia="Times New Roman" w:hAnsi="Times New Roman" w:cs="Times New Roman"/>
          <w:kern w:val="0"/>
          <w14:ligatures w14:val="none"/>
        </w:rPr>
        <w:t xml:space="preserve">Rekomendacijų dėl naujosios </w:t>
      </w:r>
      <w:r w:rsidRPr="000C6A0C">
        <w:rPr>
          <w:rFonts w:ascii="Times New Roman" w:eastAsia="Calibri" w:hAnsi="Times New Roman" w:cs="Times New Roman"/>
          <w:color w:val="000000"/>
          <w:kern w:val="0"/>
          <w:bdr w:val="none" w:sz="0" w:space="0" w:color="auto" w:frame="1"/>
          <w:lang w:eastAsia="lt-LT"/>
          <w14:ligatures w14:val="none"/>
        </w:rPr>
        <w:t>Lietuvos žemės ūkio ir kaimo plėtros 2023–2027 m. strateginio plano (toliau – Strateginis planas)</w:t>
      </w:r>
      <w:r w:rsidRPr="000C6A0C">
        <w:rPr>
          <w:rFonts w:ascii="Times New Roman" w:eastAsia="Times New Roman" w:hAnsi="Times New Roman" w:cs="Times New Roman"/>
          <w:kern w:val="0"/>
          <w14:ligatures w14:val="none"/>
        </w:rPr>
        <w:t xml:space="preserve"> klimatui, aplinkai ir gyvūnų gerovei naudingos sistemos, skirtos dirvožemio išteklių tvariam naudojimui (toliau – Ekologinė sistema), modeliavimo parengimo </w:t>
      </w:r>
      <w:r w:rsidRPr="000C6A0C">
        <w:rPr>
          <w:rFonts w:ascii="Times New Roman" w:eastAsia="Calibri" w:hAnsi="Times New Roman" w:cs="Times New Roman"/>
          <w:kern w:val="0"/>
          <w14:ligatures w14:val="none"/>
        </w:rPr>
        <w:t>(toliau – Vertinimas) užsakovas – Lietuvos Respublikos žemės ūkio ministerija (toliau – Užsakovas / Ministerija).</w:t>
      </w:r>
      <w:bookmarkEnd w:id="5"/>
    </w:p>
    <w:p w14:paraId="5EAEB6BB" w14:textId="77777777" w:rsidR="000C6A0C" w:rsidRPr="000C6A0C" w:rsidRDefault="000C6A0C" w:rsidP="000C6A0C">
      <w:pPr>
        <w:numPr>
          <w:ilvl w:val="0"/>
          <w:numId w:val="1"/>
        </w:numPr>
        <w:tabs>
          <w:tab w:val="left" w:pos="993"/>
        </w:tabs>
        <w:spacing w:after="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Užsakovas bus pagrindinis šio Vertinimo rezultatų naudotojas. Vertinimo rezultatai bus panaudoti, tobulinant</w:t>
      </w:r>
      <w:r w:rsidRPr="000C6A0C">
        <w:rPr>
          <w:rFonts w:ascii="Times New Roman" w:eastAsia="Calibri" w:hAnsi="Times New Roman" w:cs="Times New Roman"/>
          <w:kern w:val="0"/>
          <w:lang w:eastAsia="lt-LT"/>
          <w14:ligatures w14:val="none"/>
        </w:rPr>
        <w:t xml:space="preserve"> Strateginio plano </w:t>
      </w:r>
      <w:r w:rsidRPr="000C6A0C">
        <w:rPr>
          <w:rFonts w:ascii="Times New Roman" w:eastAsia="Calibri" w:hAnsi="Times New Roman" w:cs="Times New Roman"/>
          <w:kern w:val="0"/>
          <w14:ligatures w14:val="none"/>
        </w:rPr>
        <w:t>intervencines priemones ir planuojant būsimo programinio laikotarpio intervencijas.</w:t>
      </w:r>
    </w:p>
    <w:p w14:paraId="6FA512C0" w14:textId="77777777" w:rsidR="000C6A0C" w:rsidRPr="000C6A0C" w:rsidRDefault="000C6A0C" w:rsidP="000C6A0C">
      <w:pPr>
        <w:numPr>
          <w:ilvl w:val="0"/>
          <w:numId w:val="1"/>
        </w:numPr>
        <w:tabs>
          <w:tab w:val="left" w:pos="993"/>
        </w:tabs>
        <w:spacing w:after="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Vertinimo rezultatai bus paskelbti Ministerijos interneto svetainėje.</w:t>
      </w:r>
    </w:p>
    <w:p w14:paraId="2ACD4264" w14:textId="77777777" w:rsidR="000C6A0C" w:rsidRPr="000C6A0C" w:rsidRDefault="000C6A0C" w:rsidP="000C6A0C">
      <w:pPr>
        <w:tabs>
          <w:tab w:val="left" w:pos="993"/>
        </w:tabs>
        <w:spacing w:after="0" w:line="360" w:lineRule="auto"/>
        <w:ind w:firstLine="697"/>
        <w:jc w:val="both"/>
        <w:rPr>
          <w:rFonts w:ascii="Times New Roman" w:eastAsia="Calibri" w:hAnsi="Times New Roman" w:cs="Times New Roman"/>
          <w:kern w:val="0"/>
          <w14:ligatures w14:val="none"/>
        </w:rPr>
      </w:pPr>
    </w:p>
    <w:p w14:paraId="1F78CCDF" w14:textId="77777777" w:rsidR="000C6A0C" w:rsidRPr="000C6A0C" w:rsidRDefault="000C6A0C" w:rsidP="000C6A0C">
      <w:pPr>
        <w:spacing w:after="0" w:line="300" w:lineRule="auto"/>
        <w:ind w:firstLine="697"/>
        <w:jc w:val="center"/>
        <w:rPr>
          <w:rFonts w:ascii="Times New Roman" w:eastAsia="Calibri" w:hAnsi="Times New Roman" w:cs="Times New Roman"/>
          <w:b/>
          <w:kern w:val="0"/>
          <w:lang w:eastAsia="lt-LT"/>
          <w14:ligatures w14:val="none"/>
        </w:rPr>
      </w:pPr>
      <w:bookmarkStart w:id="6" w:name="_Toc163203557"/>
      <w:bookmarkStart w:id="7" w:name="_Toc199936493"/>
      <w:r w:rsidRPr="000C6A0C">
        <w:rPr>
          <w:rFonts w:ascii="Times New Roman" w:eastAsia="Times New Roman" w:hAnsi="Times New Roman" w:cs="Times New Roman"/>
          <w:b/>
          <w:kern w:val="0"/>
          <w14:ligatures w14:val="none"/>
        </w:rPr>
        <w:t xml:space="preserve">II. </w:t>
      </w:r>
      <w:r w:rsidRPr="000C6A0C">
        <w:rPr>
          <w:rFonts w:ascii="Times New Roman" w:eastAsia="Calibri" w:hAnsi="Times New Roman" w:cs="Times New Roman"/>
          <w:b/>
          <w:kern w:val="0"/>
          <w:lang w:eastAsia="lt-LT"/>
          <w14:ligatures w14:val="none"/>
        </w:rPr>
        <w:t>VERTINIMO TIKSLAS, APIMTIS IR UŽDAVINIAI</w:t>
      </w:r>
      <w:bookmarkEnd w:id="6"/>
      <w:bookmarkEnd w:id="7"/>
    </w:p>
    <w:p w14:paraId="785858FB" w14:textId="77777777" w:rsidR="000C6A0C" w:rsidRPr="000C6A0C" w:rsidRDefault="000C6A0C" w:rsidP="000C6A0C">
      <w:pPr>
        <w:numPr>
          <w:ilvl w:val="0"/>
          <w:numId w:val="1"/>
        </w:numPr>
        <w:tabs>
          <w:tab w:val="left" w:pos="993"/>
        </w:tabs>
        <w:spacing w:after="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Vertinimo tikslas –</w:t>
      </w:r>
      <w:r w:rsidRPr="000C6A0C">
        <w:rPr>
          <w:rFonts w:ascii="Times New Roman" w:eastAsia="Calibri" w:hAnsi="Times New Roman" w:cs="Times New Roman"/>
          <w:color w:val="131314"/>
          <w:kern w:val="0"/>
          <w:shd w:val="clear" w:color="auto" w:fill="FFFFFF"/>
          <w:lang w:eastAsia="lt-LT"/>
          <w14:ligatures w14:val="none"/>
        </w:rPr>
        <w:t xml:space="preserve"> išanalizuoti esamą dirvožemio tyrimų paslaugų rinką Lietuvoje ir, remiantis šios analizės rezultatais, parengti pagrįstas rekomendacijas naujosios Ekologinės sistemos, skirtos tvariam dirvožemio išteklių naudojimui, modeliavimui. Šis vertinimas privalo apimti kompensacinės išmokos dydžio nustatymą už dirvožemio tyrimus, būtinus tręšimo planams sudaryti, siekiant skatinti ūkininkus atlikti šiuos tyrimus.</w:t>
      </w:r>
    </w:p>
    <w:p w14:paraId="705A8A72" w14:textId="77777777" w:rsidR="000C6A0C" w:rsidRPr="000C6A0C" w:rsidRDefault="000C6A0C" w:rsidP="000C6A0C">
      <w:pPr>
        <w:numPr>
          <w:ilvl w:val="0"/>
          <w:numId w:val="1"/>
        </w:numPr>
        <w:tabs>
          <w:tab w:val="left" w:pos="993"/>
        </w:tabs>
        <w:spacing w:after="0" w:line="240" w:lineRule="auto"/>
        <w:ind w:left="0" w:firstLine="709"/>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 xml:space="preserve">Vertinimo objektas – dirvožemio tyrimų paslaugų </w:t>
      </w:r>
      <w:r w:rsidRPr="000C6A0C">
        <w:rPr>
          <w:rFonts w:ascii="Times New Roman" w:eastAsia="Calibri" w:hAnsi="Times New Roman" w:cs="Times New Roman"/>
          <w:color w:val="131314"/>
          <w:kern w:val="0"/>
          <w:shd w:val="clear" w:color="auto" w:fill="FFFFFF"/>
          <w:lang w:eastAsia="lt-LT"/>
          <w14:ligatures w14:val="none"/>
        </w:rPr>
        <w:t>rinkos Lietuvoje analizė bei rekomendacijos dėl naujosios Ekologinės sistemos modeliavimo, įskaitant kompensacinės išmokos dydžio nustatymą už dirvožemio tyrimus, kuriuos būtų galima panaudoti sudarant tręšimo planus ar kitiems tikslams.</w:t>
      </w:r>
    </w:p>
    <w:p w14:paraId="5C7E1B97" w14:textId="77777777" w:rsidR="000C6A0C" w:rsidRPr="000C6A0C" w:rsidRDefault="000C6A0C" w:rsidP="000C6A0C">
      <w:pPr>
        <w:numPr>
          <w:ilvl w:val="0"/>
          <w:numId w:val="1"/>
        </w:numPr>
        <w:tabs>
          <w:tab w:val="left" w:pos="993"/>
        </w:tabs>
        <w:spacing w:after="120" w:line="240" w:lineRule="auto"/>
        <w:ind w:left="0" w:firstLine="709"/>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Vertinimo uždaviniai ir klausimai:</w:t>
      </w:r>
    </w:p>
    <w:tbl>
      <w:tblPr>
        <w:tblStyle w:val="Lentelstinklelis12"/>
        <w:tblW w:w="10768" w:type="dxa"/>
        <w:tblLook w:val="04A0" w:firstRow="1" w:lastRow="0" w:firstColumn="1" w:lastColumn="0" w:noHBand="0" w:noVBand="1"/>
      </w:tblPr>
      <w:tblGrid>
        <w:gridCol w:w="2977"/>
        <w:gridCol w:w="7791"/>
      </w:tblGrid>
      <w:tr w:rsidR="000C6A0C" w:rsidRPr="000C6A0C" w14:paraId="1C1AFFBF" w14:textId="77777777" w:rsidTr="00941581">
        <w:tc>
          <w:tcPr>
            <w:tcW w:w="2977" w:type="dxa"/>
            <w:hideMark/>
          </w:tcPr>
          <w:p w14:paraId="6CF56A83" w14:textId="77777777" w:rsidR="000C6A0C" w:rsidRPr="000C6A0C" w:rsidRDefault="000C6A0C" w:rsidP="000C6A0C">
            <w:pPr>
              <w:tabs>
                <w:tab w:val="num" w:pos="1152"/>
              </w:tabs>
              <w:rPr>
                <w:rFonts w:eastAsia="Calibri"/>
                <w:b/>
                <w:sz w:val="24"/>
                <w:szCs w:val="24"/>
              </w:rPr>
            </w:pPr>
            <w:bookmarkStart w:id="8" w:name="_Hlk53655919"/>
            <w:r w:rsidRPr="000C6A0C">
              <w:rPr>
                <w:rFonts w:eastAsia="Calibri"/>
                <w:b/>
                <w:sz w:val="24"/>
                <w:szCs w:val="24"/>
              </w:rPr>
              <w:t>Vertinimo uždaviniai</w:t>
            </w:r>
          </w:p>
        </w:tc>
        <w:tc>
          <w:tcPr>
            <w:tcW w:w="7791" w:type="dxa"/>
            <w:hideMark/>
          </w:tcPr>
          <w:p w14:paraId="1E040AB2" w14:textId="77777777" w:rsidR="000C6A0C" w:rsidRPr="000C6A0C" w:rsidRDefault="000C6A0C" w:rsidP="000C6A0C">
            <w:pPr>
              <w:tabs>
                <w:tab w:val="num" w:pos="1440"/>
              </w:tabs>
              <w:ind w:left="-6" w:firstLine="720"/>
              <w:jc w:val="center"/>
              <w:rPr>
                <w:rFonts w:eastAsia="Calibri"/>
                <w:b/>
                <w:sz w:val="24"/>
                <w:szCs w:val="24"/>
                <w:highlight w:val="yellow"/>
              </w:rPr>
            </w:pPr>
            <w:r w:rsidRPr="000C6A0C">
              <w:rPr>
                <w:rFonts w:eastAsia="Calibri"/>
                <w:b/>
                <w:sz w:val="24"/>
                <w:szCs w:val="24"/>
              </w:rPr>
              <w:t>Vertinimo klausimai</w:t>
            </w:r>
          </w:p>
        </w:tc>
      </w:tr>
      <w:tr w:rsidR="000C6A0C" w:rsidRPr="000C6A0C" w14:paraId="0807AE2B" w14:textId="77777777" w:rsidTr="00941581">
        <w:tc>
          <w:tcPr>
            <w:tcW w:w="2977" w:type="dxa"/>
            <w:vAlign w:val="center"/>
          </w:tcPr>
          <w:p w14:paraId="52D1F4E3" w14:textId="77777777" w:rsidR="000C6A0C" w:rsidRPr="000C6A0C" w:rsidRDefault="000C6A0C" w:rsidP="000C6A0C">
            <w:pPr>
              <w:contextualSpacing/>
              <w:rPr>
                <w:b/>
                <w:bCs/>
                <w:sz w:val="24"/>
                <w:szCs w:val="24"/>
              </w:rPr>
            </w:pPr>
            <w:r w:rsidRPr="000C6A0C">
              <w:rPr>
                <w:b/>
                <w:bCs/>
                <w:sz w:val="24"/>
                <w:szCs w:val="24"/>
              </w:rPr>
              <w:t>6.1. Įvertinti dirvožemio tyrimų paslaugų rinką</w:t>
            </w:r>
          </w:p>
        </w:tc>
        <w:tc>
          <w:tcPr>
            <w:tcW w:w="7791" w:type="dxa"/>
          </w:tcPr>
          <w:p w14:paraId="5BAC92A3" w14:textId="77777777" w:rsidR="000C6A0C" w:rsidRPr="000C6A0C" w:rsidRDefault="000C6A0C" w:rsidP="000C6A0C">
            <w:pPr>
              <w:tabs>
                <w:tab w:val="left" w:pos="0"/>
                <w:tab w:val="left" w:pos="597"/>
              </w:tabs>
              <w:spacing w:before="120" w:after="120"/>
              <w:jc w:val="both"/>
              <w:rPr>
                <w:rFonts w:eastAsia="Calibri"/>
                <w:b/>
                <w:bCs/>
                <w:sz w:val="24"/>
                <w:szCs w:val="24"/>
              </w:rPr>
            </w:pPr>
            <w:r w:rsidRPr="000C6A0C">
              <w:rPr>
                <w:rFonts w:eastAsia="Calibri"/>
                <w:b/>
                <w:bCs/>
                <w:sz w:val="24"/>
                <w:szCs w:val="24"/>
              </w:rPr>
              <w:t>Su šiuo uždaviniu susiję klausimai:</w:t>
            </w:r>
          </w:p>
          <w:p w14:paraId="06825FD2" w14:textId="77777777" w:rsidR="000C6A0C" w:rsidRPr="000C6A0C" w:rsidRDefault="000C6A0C" w:rsidP="000C6A0C">
            <w:pPr>
              <w:tabs>
                <w:tab w:val="left" w:pos="0"/>
                <w:tab w:val="left" w:pos="597"/>
              </w:tabs>
              <w:spacing w:before="120" w:after="120"/>
              <w:jc w:val="both"/>
              <w:rPr>
                <w:sz w:val="24"/>
                <w:szCs w:val="24"/>
              </w:rPr>
            </w:pPr>
            <w:r w:rsidRPr="000C6A0C">
              <w:rPr>
                <w:rFonts w:eastAsia="Calibri"/>
                <w:b/>
                <w:bCs/>
                <w:sz w:val="24"/>
                <w:szCs w:val="24"/>
              </w:rPr>
              <w:t>6.1.1</w:t>
            </w:r>
            <w:r w:rsidRPr="000C6A0C">
              <w:rPr>
                <w:rFonts w:eastAsia="Calibri"/>
                <w:sz w:val="24"/>
                <w:szCs w:val="24"/>
              </w:rPr>
              <w:t xml:space="preserve"> Kokios įmonės, viešosios įstaigos, kitos institucijos (toliau – paslaugų tiekėjai) teikia dirvožemio tyrimų paslaugas Lietuvoje? Pateikti sąrašą. Atsakant į šį klausimą taip pat:</w:t>
            </w:r>
          </w:p>
          <w:p w14:paraId="52A29E48" w14:textId="77777777" w:rsidR="000C6A0C" w:rsidRPr="000C6A0C" w:rsidRDefault="000C6A0C" w:rsidP="000C6A0C">
            <w:pPr>
              <w:tabs>
                <w:tab w:val="left" w:pos="0"/>
                <w:tab w:val="left" w:pos="597"/>
              </w:tabs>
              <w:spacing w:before="120" w:after="120"/>
              <w:jc w:val="both"/>
              <w:rPr>
                <w:sz w:val="24"/>
                <w:szCs w:val="24"/>
              </w:rPr>
            </w:pPr>
            <w:r w:rsidRPr="000C6A0C">
              <w:rPr>
                <w:sz w:val="24"/>
                <w:szCs w:val="24"/>
              </w:rPr>
              <w:t>- nurodyti, kokiais laboratoriniais metodais paslaugų tiekėjai įvertina dirvožemio agrocheminių ir kitokių tyrimų,</w:t>
            </w:r>
            <w:r w:rsidRPr="000C6A0C">
              <w:rPr>
                <w:rFonts w:eastAsia="Calibri"/>
                <w:sz w:val="24"/>
                <w:szCs w:val="24"/>
              </w:rPr>
              <w:t xml:space="preserve"> reikalingų sudarant tręšimo planą,</w:t>
            </w:r>
            <w:r w:rsidRPr="000C6A0C">
              <w:rPr>
                <w:sz w:val="24"/>
                <w:szCs w:val="24"/>
              </w:rPr>
              <w:t xml:space="preserve"> rodiklius. Pateikti šių tyrimų rodiklių įverčių lyginamąją analizę, įvertinant tyrimų rodiklių įverčių palyginamumą, išskiriant labiausiai tinkamus laboratorinius metodus dirvožemio būklei Lietuvos sąlygomis įvertinti.</w:t>
            </w:r>
          </w:p>
          <w:p w14:paraId="439F0354" w14:textId="77777777" w:rsidR="000C6A0C" w:rsidRPr="000C6A0C" w:rsidRDefault="000C6A0C" w:rsidP="000C6A0C">
            <w:pPr>
              <w:tabs>
                <w:tab w:val="left" w:pos="0"/>
                <w:tab w:val="left" w:pos="597"/>
              </w:tabs>
              <w:spacing w:before="120" w:after="120"/>
              <w:jc w:val="both"/>
              <w:rPr>
                <w:sz w:val="24"/>
                <w:szCs w:val="24"/>
              </w:rPr>
            </w:pPr>
            <w:r w:rsidRPr="000C6A0C">
              <w:rPr>
                <w:sz w:val="24"/>
                <w:szCs w:val="24"/>
              </w:rPr>
              <w:t>- nurodyti kokiu būdu buvo surinkta informacija (pvz.: atlikus apklausą (telefonu, el. paštu ar kitomis priemonėmis), pasinaudojus interneto paieškos sistemomis ir kt.).</w:t>
            </w:r>
          </w:p>
          <w:p w14:paraId="464F78D2" w14:textId="77777777" w:rsidR="000C6A0C" w:rsidRPr="000C6A0C" w:rsidRDefault="000C6A0C" w:rsidP="000C6A0C">
            <w:pPr>
              <w:tabs>
                <w:tab w:val="left" w:pos="0"/>
                <w:tab w:val="left" w:pos="597"/>
              </w:tabs>
              <w:spacing w:before="120" w:after="120"/>
              <w:contextualSpacing/>
              <w:jc w:val="both"/>
              <w:rPr>
                <w:rFonts w:eastAsia="Calibri"/>
                <w:sz w:val="24"/>
                <w:szCs w:val="24"/>
              </w:rPr>
            </w:pPr>
            <w:r w:rsidRPr="000C6A0C">
              <w:rPr>
                <w:rFonts w:eastAsia="Calibri"/>
                <w:b/>
                <w:bCs/>
                <w:sz w:val="24"/>
                <w:szCs w:val="24"/>
              </w:rPr>
              <w:t>6.1.2.</w:t>
            </w:r>
            <w:r w:rsidRPr="000C6A0C">
              <w:rPr>
                <w:rFonts w:eastAsia="Calibri"/>
                <w:sz w:val="24"/>
                <w:szCs w:val="24"/>
              </w:rPr>
              <w:t xml:space="preserve"> Kiek per pastaruosius 3 metus (2022–2024) kasmet vidutiniškai iš viso buvo suteikta dirvožemio tyrimų paslaugų ir kiek iš jų – reikalingų sudarant tręšimo planą, Lietuvoje? Atsakant į šį klausimą taip pat įvertinti:</w:t>
            </w:r>
          </w:p>
          <w:p w14:paraId="71DAD8D1" w14:textId="77777777" w:rsidR="000C6A0C" w:rsidRPr="000C6A0C" w:rsidRDefault="000C6A0C" w:rsidP="000C6A0C">
            <w:pPr>
              <w:tabs>
                <w:tab w:val="left" w:pos="0"/>
                <w:tab w:val="left" w:pos="597"/>
              </w:tabs>
              <w:spacing w:before="120" w:after="120"/>
              <w:jc w:val="both"/>
              <w:rPr>
                <w:rFonts w:eastAsia="Calibri"/>
                <w:sz w:val="24"/>
                <w:szCs w:val="24"/>
              </w:rPr>
            </w:pPr>
            <w:r w:rsidRPr="000C6A0C">
              <w:rPr>
                <w:rFonts w:eastAsia="Calibri"/>
                <w:sz w:val="24"/>
                <w:szCs w:val="24"/>
              </w:rPr>
              <w:t>- kaip užsakymai atlikti dirvožemio tyrimus pasiskirstė pagal užsakovo turimos (valdomos) žemės, kurioje imami dirvožemio mėginiai, plotą?</w:t>
            </w:r>
          </w:p>
          <w:p w14:paraId="73BCC388" w14:textId="77777777" w:rsidR="000C6A0C" w:rsidRPr="000C6A0C" w:rsidRDefault="000C6A0C" w:rsidP="000C6A0C">
            <w:pPr>
              <w:tabs>
                <w:tab w:val="left" w:pos="0"/>
                <w:tab w:val="left" w:pos="597"/>
              </w:tabs>
              <w:spacing w:before="120" w:after="120"/>
              <w:contextualSpacing/>
              <w:jc w:val="both"/>
              <w:rPr>
                <w:sz w:val="24"/>
                <w:szCs w:val="24"/>
              </w:rPr>
            </w:pPr>
            <w:r w:rsidRPr="000C6A0C">
              <w:rPr>
                <w:rFonts w:eastAsia="Calibri"/>
                <w:sz w:val="24"/>
                <w:szCs w:val="24"/>
              </w:rPr>
              <w:lastRenderedPageBreak/>
              <w:t>- k</w:t>
            </w:r>
            <w:r w:rsidRPr="000C6A0C">
              <w:rPr>
                <w:sz w:val="24"/>
                <w:szCs w:val="24"/>
              </w:rPr>
              <w:t xml:space="preserve">okie konkretūs dirvožemio parametrai reikalingi sudarant tręšimo planą ir kaip dažnai tiriami (pvz., pH, humusas, P, K, Mg, </w:t>
            </w:r>
            <w:proofErr w:type="spellStart"/>
            <w:r w:rsidRPr="000C6A0C">
              <w:rPr>
                <w:sz w:val="24"/>
                <w:szCs w:val="24"/>
              </w:rPr>
              <w:t>Ca</w:t>
            </w:r>
            <w:proofErr w:type="spellEnd"/>
            <w:r w:rsidRPr="000C6A0C">
              <w:rPr>
                <w:sz w:val="24"/>
                <w:szCs w:val="24"/>
              </w:rPr>
              <w:t>, granuliometrinė sudėtis, organinės anglies kiekis, azoto formos ir kt.)?</w:t>
            </w:r>
          </w:p>
          <w:p w14:paraId="2BA6311E" w14:textId="77777777" w:rsidR="000C6A0C" w:rsidRPr="000C6A0C" w:rsidRDefault="000C6A0C" w:rsidP="000C6A0C">
            <w:pPr>
              <w:tabs>
                <w:tab w:val="left" w:pos="0"/>
                <w:tab w:val="left" w:pos="597"/>
              </w:tabs>
              <w:spacing w:before="120" w:after="120"/>
              <w:contextualSpacing/>
              <w:jc w:val="both"/>
              <w:rPr>
                <w:rFonts w:eastAsia="Calibri"/>
                <w:sz w:val="24"/>
                <w:szCs w:val="24"/>
              </w:rPr>
            </w:pPr>
            <w:r w:rsidRPr="000C6A0C">
              <w:rPr>
                <w:sz w:val="24"/>
                <w:szCs w:val="24"/>
              </w:rPr>
              <w:t>- ar tyrimų apimtis, dažnumas priklauso nuo ūkio valdomos ariamos žemės ploto?</w:t>
            </w:r>
          </w:p>
          <w:p w14:paraId="21B7175A" w14:textId="77777777" w:rsidR="000C6A0C" w:rsidRPr="000C6A0C" w:rsidRDefault="000C6A0C" w:rsidP="000C6A0C">
            <w:pPr>
              <w:tabs>
                <w:tab w:val="left" w:pos="0"/>
                <w:tab w:val="left" w:pos="597"/>
              </w:tabs>
              <w:spacing w:before="120" w:after="120"/>
              <w:contextualSpacing/>
              <w:jc w:val="both"/>
              <w:rPr>
                <w:sz w:val="24"/>
                <w:szCs w:val="24"/>
              </w:rPr>
            </w:pPr>
            <w:r w:rsidRPr="000C6A0C">
              <w:rPr>
                <w:rFonts w:eastAsia="Calibri"/>
                <w:sz w:val="24"/>
                <w:szCs w:val="24"/>
              </w:rPr>
              <w:t xml:space="preserve">- </w:t>
            </w:r>
            <w:r w:rsidRPr="000C6A0C">
              <w:rPr>
                <w:sz w:val="24"/>
                <w:szCs w:val="24"/>
              </w:rPr>
              <w:t>kaip dažnai užsakovai atlieka dirvožemio tyrimus ir kodėl (dėl teisės aktų reikalavimų, ekonominių aspektų ir pan.)? Ar yra tendencija dažnėti / retėti tyrimų dažnumui?</w:t>
            </w:r>
          </w:p>
        </w:tc>
      </w:tr>
      <w:tr w:rsidR="000C6A0C" w:rsidRPr="000C6A0C" w14:paraId="7A59E7AC" w14:textId="77777777" w:rsidTr="00941581">
        <w:tc>
          <w:tcPr>
            <w:tcW w:w="2977" w:type="dxa"/>
            <w:vAlign w:val="center"/>
          </w:tcPr>
          <w:p w14:paraId="29B14C43" w14:textId="77777777" w:rsidR="000C6A0C" w:rsidRPr="000C6A0C" w:rsidRDefault="000C6A0C" w:rsidP="000C6A0C">
            <w:pPr>
              <w:contextualSpacing/>
              <w:rPr>
                <w:b/>
                <w:bCs/>
                <w:sz w:val="24"/>
                <w:szCs w:val="24"/>
              </w:rPr>
            </w:pPr>
            <w:r w:rsidRPr="000C6A0C">
              <w:rPr>
                <w:b/>
                <w:bCs/>
                <w:sz w:val="24"/>
                <w:szCs w:val="24"/>
              </w:rPr>
              <w:lastRenderedPageBreak/>
              <w:t>6.2. Įvertinti, kokia dirvožemio tyrimų paslaugų kainodara</w:t>
            </w:r>
          </w:p>
        </w:tc>
        <w:tc>
          <w:tcPr>
            <w:tcW w:w="7791" w:type="dxa"/>
          </w:tcPr>
          <w:p w14:paraId="11C7795D" w14:textId="77777777" w:rsidR="000C6A0C" w:rsidRPr="000C6A0C" w:rsidRDefault="000C6A0C" w:rsidP="000C6A0C">
            <w:pPr>
              <w:tabs>
                <w:tab w:val="left" w:pos="0"/>
                <w:tab w:val="left" w:pos="597"/>
              </w:tabs>
              <w:spacing w:before="120" w:after="120"/>
              <w:jc w:val="both"/>
              <w:rPr>
                <w:rFonts w:eastAsia="Calibri"/>
                <w:b/>
                <w:bCs/>
                <w:sz w:val="24"/>
                <w:szCs w:val="24"/>
              </w:rPr>
            </w:pPr>
            <w:r w:rsidRPr="000C6A0C">
              <w:rPr>
                <w:rFonts w:eastAsia="Calibri"/>
                <w:b/>
                <w:bCs/>
                <w:sz w:val="24"/>
                <w:szCs w:val="24"/>
              </w:rPr>
              <w:t>Su šiuo uždaviniu susiję klausimai:</w:t>
            </w:r>
          </w:p>
          <w:p w14:paraId="2C87A227" w14:textId="77777777" w:rsidR="000C6A0C" w:rsidRPr="000C6A0C" w:rsidRDefault="000C6A0C" w:rsidP="000C6A0C">
            <w:pPr>
              <w:tabs>
                <w:tab w:val="left" w:pos="0"/>
                <w:tab w:val="left" w:pos="597"/>
              </w:tabs>
              <w:spacing w:before="120" w:after="120"/>
              <w:contextualSpacing/>
              <w:jc w:val="both"/>
              <w:rPr>
                <w:rFonts w:eastAsia="Calibri"/>
                <w:sz w:val="24"/>
                <w:szCs w:val="24"/>
              </w:rPr>
            </w:pPr>
            <w:r w:rsidRPr="000C6A0C">
              <w:rPr>
                <w:rFonts w:eastAsia="Calibri"/>
                <w:b/>
                <w:bCs/>
                <w:sz w:val="24"/>
                <w:szCs w:val="24"/>
              </w:rPr>
              <w:t>6.2.1.</w:t>
            </w:r>
            <w:r w:rsidRPr="000C6A0C">
              <w:rPr>
                <w:rFonts w:eastAsia="Calibri"/>
                <w:sz w:val="24"/>
                <w:szCs w:val="24"/>
              </w:rPr>
              <w:t xml:space="preserve"> </w:t>
            </w:r>
            <w:r w:rsidRPr="000C6A0C">
              <w:rPr>
                <w:sz w:val="24"/>
                <w:szCs w:val="24"/>
              </w:rPr>
              <w:t xml:space="preserve">Kokie kainodaros modeliai taikomi dirvožemio tyrimų paslaugoms (fiksuota kaina/įkainis už mėginį / parametrus, paketai, sutartiniai kainynai, taikomi metodai)? </w:t>
            </w:r>
          </w:p>
          <w:p w14:paraId="6A6482F0" w14:textId="77777777" w:rsidR="000C6A0C" w:rsidRPr="000C6A0C" w:rsidRDefault="000C6A0C" w:rsidP="000C6A0C">
            <w:pPr>
              <w:tabs>
                <w:tab w:val="left" w:pos="0"/>
                <w:tab w:val="left" w:pos="597"/>
              </w:tabs>
              <w:spacing w:before="240" w:after="120"/>
              <w:jc w:val="both"/>
              <w:rPr>
                <w:rFonts w:eastAsia="Calibri"/>
                <w:sz w:val="24"/>
                <w:szCs w:val="24"/>
              </w:rPr>
            </w:pPr>
            <w:r w:rsidRPr="000C6A0C">
              <w:rPr>
                <w:rFonts w:eastAsia="Calibri"/>
                <w:b/>
                <w:bCs/>
                <w:sz w:val="24"/>
                <w:szCs w:val="24"/>
              </w:rPr>
              <w:t>6.2.2.</w:t>
            </w:r>
            <w:r w:rsidRPr="000C6A0C">
              <w:rPr>
                <w:rFonts w:eastAsia="Calibri"/>
                <w:sz w:val="24"/>
                <w:szCs w:val="24"/>
              </w:rPr>
              <w:t xml:space="preserve"> </w:t>
            </w:r>
            <w:r w:rsidRPr="000C6A0C">
              <w:rPr>
                <w:sz w:val="24"/>
                <w:szCs w:val="24"/>
              </w:rPr>
              <w:t xml:space="preserve">Kokia yra skirtingų tiekėjų vidutinė dirvožemio pagrindinių agrocheminių parametrų (pH (rūgštingumo), organinės anglies, judriojo fosforo (P₂O₅), judriojo kalio (K₂O) mineralinio azoto, organinio azoto) tyrimų kaina? Pateikti kainų/įkainių palyginimą. </w:t>
            </w:r>
          </w:p>
          <w:p w14:paraId="2D002A0C" w14:textId="77777777" w:rsidR="000C6A0C" w:rsidRPr="000C6A0C" w:rsidRDefault="000C6A0C" w:rsidP="000C6A0C">
            <w:pPr>
              <w:tabs>
                <w:tab w:val="left" w:pos="0"/>
                <w:tab w:val="left" w:pos="597"/>
              </w:tabs>
              <w:spacing w:before="120" w:after="120"/>
              <w:jc w:val="both"/>
              <w:rPr>
                <w:rFonts w:eastAsia="Calibri"/>
                <w:sz w:val="24"/>
                <w:szCs w:val="24"/>
              </w:rPr>
            </w:pPr>
            <w:r w:rsidRPr="000C6A0C">
              <w:rPr>
                <w:rFonts w:eastAsia="Calibri"/>
                <w:b/>
                <w:bCs/>
                <w:sz w:val="24"/>
                <w:szCs w:val="24"/>
              </w:rPr>
              <w:t>6.2.3.</w:t>
            </w:r>
            <w:r w:rsidRPr="000C6A0C">
              <w:rPr>
                <w:rFonts w:eastAsia="Calibri"/>
                <w:sz w:val="24"/>
                <w:szCs w:val="24"/>
              </w:rPr>
              <w:t xml:space="preserve"> Įvertinti, kokią įtaką kainai/įkainiui daro tokie veiksniai kaip: ūkio valdomos ariamos žemės plotas, tyrimų apimtis; mėginių ėmimo metodika; atstumas iki objekto (tręšiamo ariamos žemės lauko) ir kt. bei pateikti lyginamąją analizę, kaip skirtingi parametrai įtakoja kainą. </w:t>
            </w:r>
          </w:p>
        </w:tc>
      </w:tr>
      <w:tr w:rsidR="000C6A0C" w:rsidRPr="000C6A0C" w14:paraId="010ADAC2" w14:textId="77777777" w:rsidTr="00941581">
        <w:tc>
          <w:tcPr>
            <w:tcW w:w="2977" w:type="dxa"/>
            <w:vAlign w:val="center"/>
          </w:tcPr>
          <w:p w14:paraId="66199F1A" w14:textId="77777777" w:rsidR="000C6A0C" w:rsidRPr="000C6A0C" w:rsidRDefault="000C6A0C" w:rsidP="000C6A0C">
            <w:pPr>
              <w:contextualSpacing/>
              <w:rPr>
                <w:b/>
                <w:bCs/>
                <w:sz w:val="24"/>
                <w:szCs w:val="24"/>
              </w:rPr>
            </w:pPr>
            <w:r w:rsidRPr="000C6A0C">
              <w:rPr>
                <w:b/>
                <w:bCs/>
                <w:sz w:val="24"/>
                <w:szCs w:val="24"/>
              </w:rPr>
              <w:t>6.3. Pateikti rekomendacijas ir pasiūlymus kokios priemonės skatintų žemės ūkio veiklos subjektus aktyviau užsakinėti dirvožemio tyrimus</w:t>
            </w:r>
          </w:p>
        </w:tc>
        <w:tc>
          <w:tcPr>
            <w:tcW w:w="7791" w:type="dxa"/>
          </w:tcPr>
          <w:p w14:paraId="7FF99EC1" w14:textId="77777777" w:rsidR="000C6A0C" w:rsidRPr="000C6A0C" w:rsidRDefault="000C6A0C" w:rsidP="000C6A0C">
            <w:pPr>
              <w:tabs>
                <w:tab w:val="left" w:pos="0"/>
                <w:tab w:val="left" w:pos="597"/>
              </w:tabs>
              <w:spacing w:before="120" w:after="120"/>
              <w:jc w:val="both"/>
              <w:rPr>
                <w:rFonts w:eastAsia="Calibri"/>
                <w:b/>
                <w:bCs/>
                <w:sz w:val="24"/>
                <w:szCs w:val="24"/>
              </w:rPr>
            </w:pPr>
            <w:r w:rsidRPr="000C6A0C">
              <w:rPr>
                <w:rFonts w:eastAsia="Calibri"/>
                <w:b/>
                <w:bCs/>
                <w:sz w:val="24"/>
                <w:szCs w:val="24"/>
              </w:rPr>
              <w:t>Su šiuo uždaviniu susiję klausimai:</w:t>
            </w:r>
          </w:p>
          <w:p w14:paraId="264C4B0D" w14:textId="77777777" w:rsidR="000C6A0C" w:rsidRPr="000C6A0C" w:rsidRDefault="000C6A0C" w:rsidP="000C6A0C">
            <w:pPr>
              <w:tabs>
                <w:tab w:val="left" w:pos="0"/>
                <w:tab w:val="left" w:pos="597"/>
              </w:tabs>
              <w:spacing w:before="120" w:after="120"/>
              <w:contextualSpacing/>
              <w:jc w:val="both"/>
              <w:rPr>
                <w:rFonts w:eastAsia="Calibri"/>
                <w:sz w:val="24"/>
                <w:szCs w:val="24"/>
              </w:rPr>
            </w:pPr>
            <w:r w:rsidRPr="000C6A0C">
              <w:rPr>
                <w:rFonts w:eastAsia="Calibri"/>
                <w:b/>
                <w:bCs/>
                <w:sz w:val="24"/>
                <w:szCs w:val="24"/>
              </w:rPr>
              <w:t>6.3.1.</w:t>
            </w:r>
            <w:r w:rsidRPr="000C6A0C">
              <w:rPr>
                <w:rFonts w:eastAsia="Calibri"/>
                <w:sz w:val="24"/>
                <w:szCs w:val="24"/>
              </w:rPr>
              <w:t xml:space="preserve"> </w:t>
            </w:r>
            <w:r w:rsidRPr="000C6A0C">
              <w:rPr>
                <w:sz w:val="24"/>
                <w:szCs w:val="24"/>
              </w:rPr>
              <w:t xml:space="preserve">Remiantis Vertinimo metu atlikta analize parengti konkrečias, pagrįstas išvadas ir rekomendacijas. </w:t>
            </w:r>
            <w:r w:rsidRPr="000C6A0C">
              <w:rPr>
                <w:rFonts w:eastAsia="Calibri"/>
                <w:sz w:val="24"/>
                <w:szCs w:val="24"/>
              </w:rPr>
              <w:t>Atsakant į šį klausimą taip pat:</w:t>
            </w:r>
          </w:p>
          <w:p w14:paraId="57E7EBCA" w14:textId="77777777" w:rsidR="000C6A0C" w:rsidRPr="000C6A0C" w:rsidRDefault="000C6A0C" w:rsidP="000C6A0C">
            <w:pPr>
              <w:tabs>
                <w:tab w:val="left" w:pos="0"/>
                <w:tab w:val="left" w:pos="597"/>
              </w:tabs>
              <w:spacing w:before="120" w:after="120"/>
              <w:contextualSpacing/>
              <w:jc w:val="both"/>
              <w:rPr>
                <w:sz w:val="24"/>
                <w:szCs w:val="24"/>
              </w:rPr>
            </w:pPr>
            <w:r w:rsidRPr="000C6A0C">
              <w:rPr>
                <w:rFonts w:eastAsia="Calibri"/>
                <w:sz w:val="24"/>
                <w:szCs w:val="24"/>
              </w:rPr>
              <w:t xml:space="preserve">- pateikti rekomendacijas, kaip dažnai ir kokie turėtų būti atliekami </w:t>
            </w:r>
            <w:r w:rsidRPr="000C6A0C">
              <w:rPr>
                <w:sz w:val="24"/>
                <w:szCs w:val="24"/>
              </w:rPr>
              <w:t>dirvožemio rodiklių tyrimai, reikalingi sudarant tręšimo planą;</w:t>
            </w:r>
          </w:p>
          <w:p w14:paraId="774D9BD1"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 nurodyti, kokie veiksniai turėtų nulemti tokių tyrimų dažnumą ir apimtis;</w:t>
            </w:r>
          </w:p>
          <w:p w14:paraId="775F8F4B"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 pateikti ne mažiau kaip 3 tyrimų apimčių ir / ar dažnumo alternatyvas.</w:t>
            </w:r>
          </w:p>
          <w:p w14:paraId="28091F84" w14:textId="77777777" w:rsidR="000C6A0C" w:rsidRPr="000C6A0C" w:rsidRDefault="000C6A0C" w:rsidP="000C6A0C">
            <w:pPr>
              <w:tabs>
                <w:tab w:val="left" w:pos="0"/>
                <w:tab w:val="left" w:pos="597"/>
              </w:tabs>
              <w:spacing w:before="120" w:after="120"/>
              <w:contextualSpacing/>
              <w:jc w:val="both"/>
              <w:rPr>
                <w:rFonts w:eastAsia="Calibri"/>
                <w:sz w:val="24"/>
                <w:szCs w:val="24"/>
              </w:rPr>
            </w:pPr>
            <w:r w:rsidRPr="000C6A0C">
              <w:rPr>
                <w:rFonts w:eastAsia="Calibri"/>
                <w:sz w:val="24"/>
                <w:szCs w:val="24"/>
              </w:rPr>
              <w:t xml:space="preserve">- pateikti rekomendacijas kokie </w:t>
            </w:r>
            <w:r w:rsidRPr="000C6A0C">
              <w:rPr>
                <w:sz w:val="24"/>
                <w:szCs w:val="24"/>
              </w:rPr>
              <w:t xml:space="preserve">dirvožemio rodiklių (pvz.: pH, humusas, suminis ir mineralinis N, mineralinė S, judrieji P, K, </w:t>
            </w:r>
            <w:proofErr w:type="spellStart"/>
            <w:r w:rsidRPr="000C6A0C">
              <w:rPr>
                <w:sz w:val="24"/>
                <w:szCs w:val="24"/>
              </w:rPr>
              <w:t>Ca</w:t>
            </w:r>
            <w:proofErr w:type="spellEnd"/>
            <w:r w:rsidRPr="000C6A0C">
              <w:rPr>
                <w:sz w:val="24"/>
                <w:szCs w:val="24"/>
              </w:rPr>
              <w:t xml:space="preserve">, Mg, Al, judrieji mikroelementai (Fe, B, </w:t>
            </w:r>
            <w:proofErr w:type="spellStart"/>
            <w:r w:rsidRPr="000C6A0C">
              <w:rPr>
                <w:sz w:val="24"/>
                <w:szCs w:val="24"/>
              </w:rPr>
              <w:t>Mn</w:t>
            </w:r>
            <w:proofErr w:type="spellEnd"/>
            <w:r w:rsidRPr="000C6A0C">
              <w:rPr>
                <w:sz w:val="24"/>
                <w:szCs w:val="24"/>
              </w:rPr>
              <w:t xml:space="preserve">, </w:t>
            </w:r>
            <w:proofErr w:type="spellStart"/>
            <w:r w:rsidRPr="000C6A0C">
              <w:rPr>
                <w:sz w:val="24"/>
                <w:szCs w:val="24"/>
              </w:rPr>
              <w:t>Zn</w:t>
            </w:r>
            <w:proofErr w:type="spellEnd"/>
            <w:r w:rsidRPr="000C6A0C">
              <w:rPr>
                <w:sz w:val="24"/>
                <w:szCs w:val="24"/>
              </w:rPr>
              <w:t xml:space="preserve">, </w:t>
            </w:r>
            <w:proofErr w:type="spellStart"/>
            <w:r w:rsidRPr="000C6A0C">
              <w:rPr>
                <w:sz w:val="24"/>
                <w:szCs w:val="24"/>
              </w:rPr>
              <w:t>Cu</w:t>
            </w:r>
            <w:proofErr w:type="spellEnd"/>
            <w:r w:rsidRPr="000C6A0C">
              <w:rPr>
                <w:sz w:val="24"/>
                <w:szCs w:val="24"/>
              </w:rPr>
              <w:t xml:space="preserve">, </w:t>
            </w:r>
            <w:proofErr w:type="spellStart"/>
            <w:r w:rsidRPr="000C6A0C">
              <w:rPr>
                <w:sz w:val="24"/>
                <w:szCs w:val="24"/>
              </w:rPr>
              <w:t>Mo</w:t>
            </w:r>
            <w:proofErr w:type="spellEnd"/>
            <w:r w:rsidRPr="000C6A0C">
              <w:rPr>
                <w:sz w:val="24"/>
                <w:szCs w:val="24"/>
              </w:rPr>
              <w:t xml:space="preserve">, </w:t>
            </w:r>
            <w:proofErr w:type="spellStart"/>
            <w:r w:rsidRPr="000C6A0C">
              <w:rPr>
                <w:sz w:val="24"/>
                <w:szCs w:val="24"/>
              </w:rPr>
              <w:t>Co</w:t>
            </w:r>
            <w:proofErr w:type="spellEnd"/>
            <w:r w:rsidRPr="000C6A0C">
              <w:rPr>
                <w:sz w:val="24"/>
                <w:szCs w:val="24"/>
              </w:rPr>
              <w:t>), cheminiai teršalai) tyrimai būtų naudingi žemės ūkio veiklos subjektams (kokie tikslai būtų pasiekti)</w:t>
            </w:r>
            <w:r w:rsidRPr="000C6A0C">
              <w:rPr>
                <w:rFonts w:eastAsia="Calibri"/>
                <w:sz w:val="24"/>
                <w:szCs w:val="24"/>
              </w:rPr>
              <w:t xml:space="preserve"> ir kaip dažnai tokie tyrimai turėtų būti atliekami.</w:t>
            </w:r>
          </w:p>
        </w:tc>
      </w:tr>
      <w:tr w:rsidR="000C6A0C" w:rsidRPr="000C6A0C" w14:paraId="2FB6566E" w14:textId="77777777" w:rsidTr="00941581">
        <w:trPr>
          <w:trHeight w:val="70"/>
        </w:trPr>
        <w:tc>
          <w:tcPr>
            <w:tcW w:w="2977" w:type="dxa"/>
            <w:vAlign w:val="center"/>
          </w:tcPr>
          <w:p w14:paraId="1876E2C0" w14:textId="77777777" w:rsidR="000C6A0C" w:rsidRPr="000C6A0C" w:rsidRDefault="000C6A0C" w:rsidP="000C6A0C">
            <w:pPr>
              <w:contextualSpacing/>
              <w:rPr>
                <w:sz w:val="24"/>
                <w:szCs w:val="24"/>
              </w:rPr>
            </w:pPr>
            <w:r w:rsidRPr="000C6A0C">
              <w:rPr>
                <w:b/>
                <w:bCs/>
                <w:sz w:val="24"/>
                <w:szCs w:val="24"/>
              </w:rPr>
              <w:t>6.4.</w:t>
            </w:r>
            <w:r w:rsidRPr="000C6A0C">
              <w:rPr>
                <w:sz w:val="24"/>
                <w:szCs w:val="24"/>
              </w:rPr>
              <w:t xml:space="preserve"> </w:t>
            </w:r>
            <w:r w:rsidRPr="000C6A0C">
              <w:rPr>
                <w:b/>
                <w:bCs/>
                <w:sz w:val="24"/>
                <w:szCs w:val="24"/>
              </w:rPr>
              <w:t xml:space="preserve">Pateikti rekomendacijas ir pasiūlymus dėl naujosios Ekologinės sistemos modeliavimo ir kompensacinės išmokos dydžio nustatymo </w:t>
            </w:r>
          </w:p>
          <w:p w14:paraId="23E5A1EA" w14:textId="77777777" w:rsidR="000C6A0C" w:rsidRPr="000C6A0C" w:rsidRDefault="000C6A0C" w:rsidP="000C6A0C">
            <w:pPr>
              <w:contextualSpacing/>
              <w:rPr>
                <w:sz w:val="24"/>
                <w:szCs w:val="24"/>
              </w:rPr>
            </w:pPr>
          </w:p>
        </w:tc>
        <w:tc>
          <w:tcPr>
            <w:tcW w:w="7791" w:type="dxa"/>
          </w:tcPr>
          <w:p w14:paraId="3B815BE5" w14:textId="77777777" w:rsidR="000C6A0C" w:rsidRPr="000C6A0C" w:rsidRDefault="000C6A0C" w:rsidP="000C6A0C">
            <w:pPr>
              <w:tabs>
                <w:tab w:val="left" w:pos="887"/>
              </w:tabs>
              <w:spacing w:before="120" w:after="120"/>
              <w:jc w:val="both"/>
              <w:rPr>
                <w:b/>
                <w:bCs/>
                <w:sz w:val="24"/>
                <w:szCs w:val="24"/>
              </w:rPr>
            </w:pPr>
            <w:r w:rsidRPr="000C6A0C">
              <w:rPr>
                <w:b/>
                <w:bCs/>
                <w:sz w:val="24"/>
                <w:szCs w:val="24"/>
              </w:rPr>
              <w:t>Su šiuo uždaviniu susiję klausimai:</w:t>
            </w:r>
          </w:p>
          <w:p w14:paraId="6CAF4621" w14:textId="77777777" w:rsidR="000C6A0C" w:rsidRPr="000C6A0C" w:rsidRDefault="000C6A0C" w:rsidP="000C6A0C">
            <w:pPr>
              <w:tabs>
                <w:tab w:val="left" w:pos="0"/>
                <w:tab w:val="left" w:pos="597"/>
              </w:tabs>
              <w:spacing w:before="120" w:after="120"/>
              <w:contextualSpacing/>
              <w:jc w:val="both"/>
              <w:rPr>
                <w:sz w:val="24"/>
                <w:szCs w:val="24"/>
              </w:rPr>
            </w:pPr>
            <w:r w:rsidRPr="000C6A0C">
              <w:rPr>
                <w:b/>
                <w:bCs/>
                <w:sz w:val="24"/>
                <w:szCs w:val="24"/>
              </w:rPr>
              <w:t xml:space="preserve">6.4.1. </w:t>
            </w:r>
            <w:r w:rsidRPr="000C6A0C">
              <w:rPr>
                <w:sz w:val="24"/>
                <w:szCs w:val="24"/>
              </w:rPr>
              <w:t>Kokios galėtų būti paramos sąlygos (intervencinės priemonės modelis, reikalavimai paramai ir (arba) įsipareigojimai dėl naujosios intervencinės priemonės – Ekologinės sistemos įgyvendinimo nuo 2026 m.)?</w:t>
            </w:r>
          </w:p>
          <w:p w14:paraId="1B2251BB"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Atsakant į šį klausimą taip pat pateikti pasiūlymus (pastebėjimus):</w:t>
            </w:r>
          </w:p>
          <w:p w14:paraId="0EA64296" w14:textId="77777777" w:rsidR="000C6A0C" w:rsidRPr="000C6A0C" w:rsidRDefault="000C6A0C" w:rsidP="000C6A0C">
            <w:pPr>
              <w:autoSpaceDE w:val="0"/>
              <w:autoSpaceDN w:val="0"/>
              <w:adjustRightInd w:val="0"/>
              <w:jc w:val="both"/>
              <w:rPr>
                <w:sz w:val="24"/>
                <w:szCs w:val="24"/>
              </w:rPr>
            </w:pPr>
            <w:r w:rsidRPr="000C6A0C">
              <w:rPr>
                <w:sz w:val="24"/>
                <w:szCs w:val="24"/>
              </w:rPr>
              <w:t>- ar naujoji Ekologinė sistema atitinka ir yra pagrįsta, vertinant ją Strateginio plano SSGG (s</w:t>
            </w:r>
            <w:r w:rsidRPr="000C6A0C">
              <w:rPr>
                <w:i/>
                <w:iCs/>
                <w:color w:val="000000"/>
                <w:sz w:val="24"/>
                <w:szCs w:val="24"/>
                <w:shd w:val="clear" w:color="auto" w:fill="FFFFFF"/>
              </w:rPr>
              <w:t>tiprybių, silpnybių, galimybių ir grėsmių)</w:t>
            </w:r>
            <w:r w:rsidRPr="000C6A0C">
              <w:rPr>
                <w:sz w:val="24"/>
                <w:szCs w:val="24"/>
              </w:rPr>
              <w:t xml:space="preserve"> analizės rezultatais ir atsižvelgiant į nacionalinius žemės ūkio ir kaimo plėtros poreikius? </w:t>
            </w:r>
          </w:p>
          <w:p w14:paraId="1B552B31" w14:textId="77777777" w:rsidR="000C6A0C" w:rsidRPr="000C6A0C" w:rsidRDefault="000C6A0C" w:rsidP="000C6A0C">
            <w:pPr>
              <w:autoSpaceDE w:val="0"/>
              <w:autoSpaceDN w:val="0"/>
              <w:adjustRightInd w:val="0"/>
              <w:jc w:val="both"/>
              <w:rPr>
                <w:sz w:val="24"/>
                <w:szCs w:val="24"/>
              </w:rPr>
            </w:pPr>
            <w:r w:rsidRPr="000C6A0C">
              <w:rPr>
                <w:sz w:val="24"/>
                <w:szCs w:val="24"/>
              </w:rPr>
              <w:t>- modeliuojant priemonę ir apibūdinant įsipareigojimus, laikytis būtinos sąlygos – su Ekologine sistema susijusios pareigos viršija atitinkamus teisės aktais nustatytus valdymo reikalavimus ir žemės ūkio naudmenų geros agrarinės ir aplinkosaugos būklės reikalavimus</w:t>
            </w:r>
            <w:r w:rsidRPr="000C6A0C">
              <w:rPr>
                <w:rFonts w:eastAsia="Calibri Light"/>
                <w:sz w:val="24"/>
                <w:szCs w:val="24"/>
                <w:vertAlign w:val="superscript"/>
              </w:rPr>
              <w:footnoteReference w:id="1"/>
            </w:r>
            <w:r w:rsidRPr="000C6A0C">
              <w:rPr>
                <w:sz w:val="24"/>
                <w:szCs w:val="24"/>
              </w:rPr>
              <w:t xml:space="preserve">. </w:t>
            </w:r>
          </w:p>
          <w:p w14:paraId="2D66C135"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 kokia turėtų būti įsipareigojimų laikotarpio trukmė, siekiant užtikrinti Bendrosios žemės ūkio politikos (BŽŪP) aplinkosauginių tikslų pasiekiamumą dėl dirvožemio ir vandens apsaugos?</w:t>
            </w:r>
          </w:p>
          <w:p w14:paraId="5A0ECFE4" w14:textId="77777777" w:rsidR="000C6A0C" w:rsidRPr="000C6A0C" w:rsidRDefault="000C6A0C" w:rsidP="000C6A0C">
            <w:pPr>
              <w:jc w:val="both"/>
              <w:rPr>
                <w:sz w:val="24"/>
                <w:szCs w:val="24"/>
              </w:rPr>
            </w:pPr>
            <w:r w:rsidRPr="000C6A0C">
              <w:rPr>
                <w:sz w:val="24"/>
                <w:szCs w:val="24"/>
              </w:rPr>
              <w:lastRenderedPageBreak/>
              <w:t xml:space="preserve">- kokiomis sąlygomis ir kokiais principais šioje Ekologinėje sistemoje turėtų galimybę dalyvauti ekologinės gamybos (įskaitant pereinančius prie ekologinio ūkininkavimo) ūkiai; </w:t>
            </w:r>
          </w:p>
          <w:p w14:paraId="054A3C2B"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 modeliavimo metu įvertinti Ekologinės sistemos reikalavimus / įsipareigojimus pagal Strateginio plano ekologinę sistemą „Tausojanti vaisių ir daržovių programa (NKP)“ skiriamos paramos kontekste, siekiant išvengti dvigubo finansavimo (kad būtų užkirstas kelias dvigubam taikomos praktikos (pagal abi ekologines sistemas) finansavimui).</w:t>
            </w:r>
          </w:p>
          <w:p w14:paraId="0BF2E509" w14:textId="77777777" w:rsidR="000C6A0C" w:rsidRPr="000C6A0C" w:rsidRDefault="000C6A0C" w:rsidP="000C6A0C">
            <w:pPr>
              <w:tabs>
                <w:tab w:val="left" w:pos="0"/>
                <w:tab w:val="left" w:pos="597"/>
              </w:tabs>
              <w:spacing w:before="120" w:after="120"/>
              <w:contextualSpacing/>
              <w:jc w:val="both"/>
              <w:rPr>
                <w:sz w:val="24"/>
                <w:szCs w:val="24"/>
              </w:rPr>
            </w:pPr>
            <w:r w:rsidRPr="000C6A0C">
              <w:rPr>
                <w:b/>
                <w:bCs/>
                <w:sz w:val="24"/>
                <w:szCs w:val="24"/>
              </w:rPr>
              <w:t>6.4.2.</w:t>
            </w:r>
            <w:r w:rsidRPr="000C6A0C">
              <w:rPr>
                <w:sz w:val="24"/>
                <w:szCs w:val="24"/>
              </w:rPr>
              <w:t xml:space="preserve"> Kaip turėtų būti apskaičiuojama kompensacinė išmoka (išmokų skaičiavimo prielaidos) ir koks galėtų būti išmokos dydis (išmokų skaičiavimo rezultatai) už dirvožemio tyrimų, kurie bus naudojami tręšimo plano sudarymui,  atlikimą pagal visas alternatyvas? </w:t>
            </w:r>
          </w:p>
          <w:p w14:paraId="00495294"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Atsakant į šį klausimą taip pat:</w:t>
            </w:r>
          </w:p>
          <w:p w14:paraId="17F1B61C"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 pateikti pasiūlymus dėl kompensacinės išmokos dydžio diferencijavimo pagal ūkio valdomos ariamosios žemės plotą / maksimalų valdos ploto ribinį dydį, už kurį gali būti skiriama parama, nustatymo;</w:t>
            </w:r>
          </w:p>
          <w:p w14:paraId="2EE40872"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 pateikti pasiūlymus dėl kompensacinės išmokos dydžio diferencijavimo pagal:</w:t>
            </w:r>
          </w:p>
          <w:p w14:paraId="7D24CF10"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1) agrocheminių ir kitų tyrimų rodiklių skaičių (tyrimų apimtis), reikalingą tręšimo plano sudarymui (nuo minimalaus dirvožemio tyrimų rodiklių skaičiaus</w:t>
            </w:r>
            <w:r w:rsidRPr="000C6A0C">
              <w:rPr>
                <w:rFonts w:eastAsia="Calibri Light"/>
                <w:sz w:val="24"/>
                <w:szCs w:val="24"/>
                <w:vertAlign w:val="superscript"/>
              </w:rPr>
              <w:footnoteReference w:id="2"/>
            </w:r>
            <w:r w:rsidRPr="000C6A0C">
              <w:rPr>
                <w:sz w:val="24"/>
                <w:szCs w:val="24"/>
              </w:rPr>
              <w:t xml:space="preserve"> iki maksimalaus);</w:t>
            </w:r>
          </w:p>
          <w:p w14:paraId="0828A070"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2) kitų agrocheminių ir kitų dirvožemio tyrimų, naudingų  žemės ūkio veiklos subjektams, rodiklių skaičių;</w:t>
            </w:r>
          </w:p>
          <w:p w14:paraId="199F9379"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Nustatant išmokos dydį, atsižvelgti, kad:</w:t>
            </w:r>
          </w:p>
          <w:p w14:paraId="19E957EF"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 išmokos dydis turi būti apskaičiuotas ariamosios žemės</w:t>
            </w:r>
            <w:r w:rsidRPr="000C6A0C">
              <w:rPr>
                <w:sz w:val="24"/>
                <w:szCs w:val="24"/>
                <w:vertAlign w:val="superscript"/>
              </w:rPr>
              <w:footnoteReference w:id="3"/>
            </w:r>
            <w:r w:rsidRPr="000C6A0C">
              <w:rPr>
                <w:sz w:val="24"/>
                <w:szCs w:val="24"/>
              </w:rPr>
              <w:t xml:space="preserve"> hektarui (ha);</w:t>
            </w:r>
          </w:p>
          <w:p w14:paraId="27DF3089"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 išmoka skiriama kaip metinė išmoka už visus reikalavimus atitinkančius hektarus, kuriems taikomi įsipareigojimai. Išmoka kompensuojama dalis dėl prisiimtų įsipareigojimų patirtų papildomų sąnaudų ir prarastų pajamų, kaip numato Europos Parlamento ir Tarybos reglamento (ES) 2021/2115 31 str. 7 dalies b) punktas;</w:t>
            </w:r>
          </w:p>
          <w:p w14:paraId="3855C0E6"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 didžiausią išmokos dydį sudaro 100 proc. patirtų papildomų sąnaudų ir prarastų pajamų, mažiausią išmokos dydį sudaro 70 proc. patirtų papildomų sąnaudų ir prarastų pajamų, kaip numato Europos Parlamento ir Tarybos reglamento (ES) 2021/2115 102 str. 2 dalies 3 pastraipa;</w:t>
            </w:r>
          </w:p>
          <w:p w14:paraId="4CD61C2F" w14:textId="77777777" w:rsidR="000C6A0C" w:rsidRPr="000C6A0C" w:rsidRDefault="000C6A0C" w:rsidP="000C6A0C">
            <w:pPr>
              <w:tabs>
                <w:tab w:val="left" w:pos="0"/>
                <w:tab w:val="left" w:pos="597"/>
              </w:tabs>
              <w:spacing w:before="120" w:after="120"/>
              <w:contextualSpacing/>
              <w:jc w:val="both"/>
              <w:rPr>
                <w:sz w:val="24"/>
                <w:szCs w:val="24"/>
              </w:rPr>
            </w:pPr>
            <w:r w:rsidRPr="000C6A0C">
              <w:rPr>
                <w:sz w:val="24"/>
                <w:szCs w:val="24"/>
              </w:rPr>
              <w:t>- išmokos dydžio nustatymui turi būti naudojami paskutinių trejų metų (2022–2024) faktiniai duomenys.</w:t>
            </w:r>
          </w:p>
          <w:p w14:paraId="4D040EBD" w14:textId="77777777" w:rsidR="000C6A0C" w:rsidRPr="000C6A0C" w:rsidRDefault="000C6A0C" w:rsidP="000C6A0C">
            <w:pPr>
              <w:tabs>
                <w:tab w:val="left" w:pos="887"/>
              </w:tabs>
              <w:spacing w:before="120" w:after="120"/>
              <w:jc w:val="both"/>
              <w:rPr>
                <w:sz w:val="24"/>
                <w:szCs w:val="24"/>
              </w:rPr>
            </w:pPr>
            <w:r w:rsidRPr="000C6A0C">
              <w:rPr>
                <w:b/>
                <w:bCs/>
                <w:sz w:val="24"/>
                <w:szCs w:val="24"/>
              </w:rPr>
              <w:t>6.4.3.</w:t>
            </w:r>
            <w:r w:rsidRPr="000C6A0C">
              <w:rPr>
                <w:sz w:val="24"/>
                <w:szCs w:val="24"/>
              </w:rPr>
              <w:t xml:space="preserve"> Nustatyti galimą ariamosios žemės plotą (ha) (kokia dalis nuo visos Lietuvoje esančios ariamos žemės), taip pat galimą per metus paremti plotą, kuriam būtų tikslinga mokėti paramą už dirvožemio tyrimų atlikimą artimiausius 3 metus, pradedant 2026 m.</w:t>
            </w:r>
          </w:p>
        </w:tc>
      </w:tr>
      <w:bookmarkEnd w:id="8"/>
    </w:tbl>
    <w:p w14:paraId="011E97C6" w14:textId="77777777" w:rsidR="000C6A0C" w:rsidRPr="000C6A0C" w:rsidRDefault="000C6A0C" w:rsidP="000C6A0C">
      <w:pPr>
        <w:spacing w:after="0" w:line="240" w:lineRule="auto"/>
        <w:ind w:firstLine="697"/>
        <w:jc w:val="both"/>
        <w:rPr>
          <w:rFonts w:ascii="Times New Roman" w:eastAsia="Calibri" w:hAnsi="Times New Roman" w:cs="Times New Roman"/>
          <w:kern w:val="0"/>
          <w14:ligatures w14:val="none"/>
        </w:rPr>
      </w:pPr>
    </w:p>
    <w:p w14:paraId="0DB14A4B" w14:textId="77777777" w:rsidR="000C6A0C" w:rsidRPr="000C6A0C" w:rsidRDefault="000C6A0C" w:rsidP="000C6A0C">
      <w:pPr>
        <w:numPr>
          <w:ilvl w:val="0"/>
          <w:numId w:val="1"/>
        </w:numPr>
        <w:tabs>
          <w:tab w:val="left" w:pos="993"/>
        </w:tabs>
        <w:spacing w:after="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Paslaugų teikėjas, suderinęs su Užsakovu, galės įtraukti papildomų vertinimo klausimų, 6 punkte nurodytų klausimų kontekste, kurie padėtų tiksliau ar išsamiau atskleisti vertinimo problematiką ar kitokiu būdu pagerinti jo kokybę.</w:t>
      </w:r>
    </w:p>
    <w:p w14:paraId="657BDE09" w14:textId="77777777" w:rsidR="000C6A0C" w:rsidRPr="000C6A0C" w:rsidRDefault="000C6A0C" w:rsidP="000C6A0C">
      <w:pPr>
        <w:numPr>
          <w:ilvl w:val="0"/>
          <w:numId w:val="1"/>
        </w:numPr>
        <w:tabs>
          <w:tab w:val="left" w:pos="993"/>
        </w:tabs>
        <w:spacing w:after="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Apibendrinęs Vertinimo metu surinktus duomenis ir atsakęs į visus vertinimo klausimus, paslaugų teikėjas Galutinėje vertinimo ataskaitoje turės parengti konkrečias išvadas ir rekomendacijas pagal techninės specifikacijos 6 punkte nurodytus vertinimo uždavinius.</w:t>
      </w:r>
    </w:p>
    <w:p w14:paraId="5C01ECDA" w14:textId="77777777" w:rsidR="000C6A0C" w:rsidRPr="000C6A0C" w:rsidRDefault="000C6A0C" w:rsidP="000C6A0C">
      <w:pPr>
        <w:numPr>
          <w:ilvl w:val="0"/>
          <w:numId w:val="1"/>
        </w:numPr>
        <w:tabs>
          <w:tab w:val="left" w:pos="993"/>
        </w:tabs>
        <w:spacing w:after="0" w:line="264" w:lineRule="auto"/>
        <w:ind w:left="0" w:firstLine="709"/>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Išvados turi būti pagrįstos atliktos analizės rezultatais (identifikuojamos Galutinėje vertinimo ataskaitoje).</w:t>
      </w:r>
    </w:p>
    <w:p w14:paraId="50E846CE" w14:textId="77777777" w:rsidR="000C6A0C" w:rsidRPr="000C6A0C" w:rsidRDefault="000C6A0C" w:rsidP="000C6A0C">
      <w:pPr>
        <w:numPr>
          <w:ilvl w:val="0"/>
          <w:numId w:val="1"/>
        </w:numPr>
        <w:tabs>
          <w:tab w:val="left" w:pos="993"/>
        </w:tabs>
        <w:spacing w:after="0" w:line="264" w:lineRule="auto"/>
        <w:ind w:left="0" w:firstLine="709"/>
        <w:jc w:val="both"/>
        <w:rPr>
          <w:rFonts w:ascii="Times New Roman" w:eastAsia="Times New Roman" w:hAnsi="Times New Roman" w:cs="Times New Roman"/>
          <w:kern w:val="0"/>
          <w14:ligatures w14:val="none"/>
        </w:rPr>
      </w:pPr>
      <w:r w:rsidRPr="000C6A0C">
        <w:rPr>
          <w:rFonts w:ascii="Times New Roman" w:eastAsia="Calibri" w:hAnsi="Times New Roman" w:cs="Times New Roman"/>
          <w:kern w:val="0"/>
          <w14:ligatures w14:val="none"/>
        </w:rPr>
        <w:lastRenderedPageBreak/>
        <w:t>Rekomendacijos turi būti pagrįstos atliktos analizės rezultatais bei susijusios su pateiktomis išvadomis.</w:t>
      </w:r>
    </w:p>
    <w:p w14:paraId="79F11DFB" w14:textId="77777777" w:rsidR="000C6A0C" w:rsidRPr="000C6A0C" w:rsidRDefault="000C6A0C" w:rsidP="000C6A0C">
      <w:pPr>
        <w:numPr>
          <w:ilvl w:val="0"/>
          <w:numId w:val="1"/>
        </w:numPr>
        <w:tabs>
          <w:tab w:val="left" w:pos="993"/>
        </w:tabs>
        <w:spacing w:after="0" w:line="264" w:lineRule="auto"/>
        <w:ind w:left="0" w:firstLine="709"/>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Paslaugų teikėjas įsipareigoja perduoti visas autoriaus turtines teises į Paslaugų teikėjo sukurtus vertinimo rezultatus. Paslaugų teikėjas neturi teisės skelbti ar kitaip viešai platinti Ministerijai perduotų vertinimo rezultatų be išankstinio rašytinio Ministerijos sutikimo.</w:t>
      </w:r>
    </w:p>
    <w:p w14:paraId="32181B86" w14:textId="77777777" w:rsidR="000C6A0C" w:rsidRPr="000C6A0C" w:rsidRDefault="000C6A0C" w:rsidP="000C6A0C">
      <w:pPr>
        <w:tabs>
          <w:tab w:val="left" w:pos="993"/>
        </w:tabs>
        <w:spacing w:after="0" w:line="360" w:lineRule="auto"/>
        <w:ind w:firstLine="709"/>
        <w:jc w:val="both"/>
        <w:rPr>
          <w:rFonts w:ascii="Times New Roman" w:eastAsia="Calibri" w:hAnsi="Times New Roman" w:cs="Times New Roman"/>
          <w:kern w:val="0"/>
          <w14:ligatures w14:val="none"/>
        </w:rPr>
      </w:pPr>
    </w:p>
    <w:p w14:paraId="61E4A889" w14:textId="77777777" w:rsidR="000C6A0C" w:rsidRPr="000C6A0C" w:rsidRDefault="000C6A0C" w:rsidP="000C6A0C">
      <w:pPr>
        <w:tabs>
          <w:tab w:val="left" w:pos="993"/>
        </w:tabs>
        <w:spacing w:after="240" w:line="264" w:lineRule="auto"/>
        <w:ind w:firstLine="709"/>
        <w:jc w:val="center"/>
        <w:rPr>
          <w:rFonts w:ascii="Times New Roman" w:eastAsia="Times New Roman" w:hAnsi="Times New Roman" w:cs="Times New Roman"/>
          <w:b/>
          <w:kern w:val="0"/>
          <w14:ligatures w14:val="none"/>
        </w:rPr>
      </w:pPr>
      <w:r w:rsidRPr="000C6A0C">
        <w:rPr>
          <w:rFonts w:ascii="Times New Roman" w:eastAsia="Times New Roman" w:hAnsi="Times New Roman" w:cs="Times New Roman"/>
          <w:b/>
          <w:kern w:val="0"/>
          <w14:ligatures w14:val="none"/>
        </w:rPr>
        <w:t>III. VERTINIMO ORGANIZAVIMAS</w:t>
      </w:r>
    </w:p>
    <w:p w14:paraId="1C228D34" w14:textId="77777777" w:rsidR="000C6A0C" w:rsidRPr="000C6A0C" w:rsidRDefault="000C6A0C" w:rsidP="000C6A0C">
      <w:pPr>
        <w:numPr>
          <w:ilvl w:val="0"/>
          <w:numId w:val="1"/>
        </w:numPr>
        <w:tabs>
          <w:tab w:val="left" w:pos="993"/>
        </w:tabs>
        <w:spacing w:after="200" w:line="264" w:lineRule="auto"/>
        <w:ind w:left="0" w:firstLine="709"/>
        <w:contextualSpacing/>
        <w:jc w:val="both"/>
        <w:rPr>
          <w:rFonts w:ascii="Times New Roman" w:eastAsia="Calibri" w:hAnsi="Times New Roman" w:cs="Times New Roman"/>
          <w:b/>
          <w:bCs/>
          <w:i/>
          <w:iCs/>
          <w:kern w:val="0"/>
          <w14:ligatures w14:val="none"/>
        </w:rPr>
      </w:pPr>
      <w:r w:rsidRPr="000C6A0C">
        <w:rPr>
          <w:rFonts w:ascii="Times New Roman" w:eastAsia="Calibri" w:hAnsi="Times New Roman" w:cs="Times New Roman"/>
          <w:kern w:val="0"/>
          <w14:ligatures w14:val="none"/>
        </w:rPr>
        <w:t xml:space="preserve">Vertinimo atlikimo trukmė – 3 mėnesiai nuo sutarties įsigaliojimo. </w:t>
      </w:r>
    </w:p>
    <w:p w14:paraId="748FB9E9" w14:textId="77777777" w:rsidR="000C6A0C" w:rsidRPr="000C6A0C" w:rsidRDefault="000C6A0C" w:rsidP="000C6A0C">
      <w:pPr>
        <w:numPr>
          <w:ilvl w:val="0"/>
          <w:numId w:val="1"/>
        </w:numPr>
        <w:tabs>
          <w:tab w:val="left" w:pos="993"/>
        </w:tabs>
        <w:spacing w:after="20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Rezultatai ir terminai, kuriuos turi įvykdyti paslaugos teikėjas:</w:t>
      </w:r>
    </w:p>
    <w:p w14:paraId="48DC1E6C" w14:textId="77777777" w:rsidR="000C6A0C" w:rsidRPr="000C6A0C" w:rsidRDefault="000C6A0C" w:rsidP="000C6A0C">
      <w:pPr>
        <w:numPr>
          <w:ilvl w:val="1"/>
          <w:numId w:val="1"/>
        </w:numPr>
        <w:tabs>
          <w:tab w:val="left" w:pos="993"/>
        </w:tabs>
        <w:spacing w:after="200" w:line="264" w:lineRule="auto"/>
        <w:ind w:left="0" w:firstLine="709"/>
        <w:contextualSpacing/>
        <w:jc w:val="both"/>
        <w:rPr>
          <w:rFonts w:ascii="Times New Roman" w:eastAsia="Times New Roman" w:hAnsi="Times New Roman" w:cs="Times New Roman"/>
          <w:kern w:val="0"/>
          <w:lang w:eastAsia="lt-LT"/>
          <w14:ligatures w14:val="none"/>
        </w:rPr>
      </w:pPr>
      <w:r w:rsidRPr="000C6A0C">
        <w:rPr>
          <w:rFonts w:ascii="Times New Roman" w:eastAsia="Calibri" w:hAnsi="Times New Roman" w:cs="Times New Roman"/>
          <w:kern w:val="0"/>
          <w14:ligatures w14:val="none"/>
        </w:rPr>
        <w:t>ne vėliau kaip per 7</w:t>
      </w:r>
      <w:r w:rsidRPr="000C6A0C">
        <w:rPr>
          <w:rFonts w:ascii="Times New Roman" w:eastAsia="Times New Roman" w:hAnsi="Times New Roman" w:cs="Times New Roman"/>
          <w:kern w:val="0"/>
          <w:lang w:eastAsia="lt-LT"/>
          <w14:ligatures w14:val="none"/>
        </w:rPr>
        <w:t xml:space="preserve"> kalendorines dienas nuo sutarties įsigaliojimo suorganizuoti įvadinį paslaugų teikėjo ir Ministerijos atstovų susitikimą, kurio metu turės būti aptartos planuojamos Vertinimo veiklos ir jų grafikas, aptartos Vertinimo prielaidos ir rizikos, išsakyti Ministerijos ir vertintojų lūkesčiai bei poreikiai;</w:t>
      </w:r>
    </w:p>
    <w:p w14:paraId="3F87FBF6" w14:textId="77777777" w:rsidR="000C6A0C" w:rsidRPr="000C6A0C" w:rsidRDefault="000C6A0C" w:rsidP="000C6A0C">
      <w:pPr>
        <w:numPr>
          <w:ilvl w:val="1"/>
          <w:numId w:val="1"/>
        </w:numPr>
        <w:tabs>
          <w:tab w:val="left" w:pos="993"/>
        </w:tabs>
        <w:spacing w:after="20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ne vėliau kaip per 2 mėnesius nuo sutarties įsigaliojimo Užsakovui pateikti Tarpinę vertinimo ataskaitą. Šioje ataskaitoje pateikiami preliminarūs analizės rezultatai ir atsakymai į 6.1–6.4 papunkčiuose nurodytų Vertinimo uždavinių vertinimo klausimus. Per 5 darbo dienas nuo Tarpinės vertinimo ataskaitos pateikimo turi būti suorganizuotas Tarpinio vertinimo rezultatų pristatymas. Per 5 darbo dienas nuo Tarpinės vertinimo ataskaitos pristatymo Užsakovas pateiks pastabas, į kurias turės būti atsižvelgta Galutinėje vertinimo ataskaitoje arba pateiktas pagrindimas kodėl neatsižvelgta;</w:t>
      </w:r>
    </w:p>
    <w:p w14:paraId="5ED9E754" w14:textId="77777777" w:rsidR="000C6A0C" w:rsidRPr="000C6A0C" w:rsidRDefault="000C6A0C" w:rsidP="000C6A0C">
      <w:pPr>
        <w:numPr>
          <w:ilvl w:val="1"/>
          <w:numId w:val="1"/>
        </w:numPr>
        <w:tabs>
          <w:tab w:val="left" w:pos="993"/>
        </w:tabs>
        <w:spacing w:after="20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 xml:space="preserve">likus ne mažiau kaip 10 kalendorinių dienų iki Galutinei vertinimo ataskaitai pateikti numatyto termino, Užsakovui pateikti Galutinės vertinimo ataskaitos projektą. Per 5 darbo dienas nuo Galutinės vertinimo ataskaitos projekto pateikimo Užsakovas pateikia pastabas, į kurias turės būti atsižvelgta Galutinėje vertinimo ataskaitoje arba pateiktas pagrindimas kodėl neatsižvelgta; </w:t>
      </w:r>
    </w:p>
    <w:p w14:paraId="688C6EFC" w14:textId="77777777" w:rsidR="000C6A0C" w:rsidRPr="000C6A0C" w:rsidRDefault="000C6A0C" w:rsidP="000C6A0C">
      <w:pPr>
        <w:numPr>
          <w:ilvl w:val="1"/>
          <w:numId w:val="1"/>
        </w:numPr>
        <w:tabs>
          <w:tab w:val="left" w:pos="993"/>
        </w:tabs>
        <w:spacing w:after="20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su Užsakovu suderintu metu (iki Galutinės vertinimo ataskaitos pateikimo dienos) turės būti suorganizuoti Vertinimo rezultatų pristatymas Užsakovui ir jam pageidaujant suinteresuotiems asmenims.</w:t>
      </w:r>
    </w:p>
    <w:p w14:paraId="6E8AA1D8" w14:textId="77777777" w:rsidR="000C6A0C" w:rsidRPr="000C6A0C" w:rsidRDefault="000C6A0C" w:rsidP="000C6A0C">
      <w:pPr>
        <w:numPr>
          <w:ilvl w:val="1"/>
          <w:numId w:val="1"/>
        </w:numPr>
        <w:tabs>
          <w:tab w:val="left" w:pos="993"/>
        </w:tabs>
        <w:spacing w:after="20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 xml:space="preserve">Galutinė vertinimo ataskaita turi būti pateikta per 3 mėn. nuo sutarties įsigaliojimo. </w:t>
      </w:r>
    </w:p>
    <w:p w14:paraId="576FD5AD" w14:textId="77777777" w:rsidR="000C6A0C" w:rsidRPr="000C6A0C" w:rsidRDefault="000C6A0C" w:rsidP="000C6A0C">
      <w:pPr>
        <w:numPr>
          <w:ilvl w:val="1"/>
          <w:numId w:val="1"/>
        </w:numPr>
        <w:tabs>
          <w:tab w:val="left" w:pos="993"/>
        </w:tabs>
        <w:spacing w:after="20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 xml:space="preserve">Dėl nuo paslaugų teikėjo nepriklausančių aplinkybių vertinimo terminas ir (arba) ataskaitų pateikimo terminai paslaugų teikėjo ir Užsakovo abipusiu sutarimu gali būti pratęsiami iki 2 mėnesių. </w:t>
      </w:r>
    </w:p>
    <w:p w14:paraId="78653193" w14:textId="77777777" w:rsidR="000C6A0C" w:rsidRPr="000C6A0C" w:rsidRDefault="000C6A0C" w:rsidP="000C6A0C">
      <w:pPr>
        <w:numPr>
          <w:ilvl w:val="0"/>
          <w:numId w:val="1"/>
        </w:numPr>
        <w:tabs>
          <w:tab w:val="left" w:pos="993"/>
        </w:tabs>
        <w:spacing w:after="200" w:line="264" w:lineRule="auto"/>
        <w:ind w:left="0" w:firstLine="709"/>
        <w:contextualSpacing/>
        <w:jc w:val="both"/>
        <w:rPr>
          <w:rFonts w:ascii="Times New Roman" w:eastAsia="Times New Roman" w:hAnsi="Times New Roman" w:cs="Times New Roman"/>
          <w:kern w:val="0"/>
          <w14:ligatures w14:val="none"/>
        </w:rPr>
      </w:pPr>
      <w:r w:rsidRPr="000C6A0C">
        <w:rPr>
          <w:rFonts w:ascii="Times New Roman" w:eastAsia="Times New Roman" w:hAnsi="Times New Roman" w:cs="Times New Roman"/>
          <w:kern w:val="0"/>
          <w14:ligatures w14:val="none"/>
        </w:rPr>
        <w:t>Galutinės vertinimo ataskaitos orientacinis turinys:</w:t>
      </w:r>
    </w:p>
    <w:p w14:paraId="5D2BCB89" w14:textId="77777777" w:rsidR="000C6A0C" w:rsidRPr="000C6A0C" w:rsidRDefault="000C6A0C" w:rsidP="000C6A0C">
      <w:pPr>
        <w:numPr>
          <w:ilvl w:val="1"/>
          <w:numId w:val="1"/>
        </w:numPr>
        <w:tabs>
          <w:tab w:val="left" w:pos="993"/>
        </w:tabs>
        <w:spacing w:after="200" w:line="264" w:lineRule="auto"/>
        <w:ind w:left="0" w:firstLine="709"/>
        <w:contextualSpacing/>
        <w:jc w:val="both"/>
        <w:rPr>
          <w:rFonts w:ascii="Times New Roman" w:eastAsia="Calibri" w:hAnsi="Times New Roman" w:cs="Times New Roman"/>
          <w:b/>
          <w:bCs/>
          <w:kern w:val="0"/>
          <w14:ligatures w14:val="none"/>
        </w:rPr>
      </w:pPr>
      <w:r w:rsidRPr="000C6A0C">
        <w:rPr>
          <w:rFonts w:ascii="Times New Roman" w:eastAsia="Calibri" w:hAnsi="Times New Roman" w:cs="Times New Roman"/>
          <w:kern w:val="0"/>
          <w14:ligatures w14:val="none"/>
        </w:rPr>
        <w:t>įvadas, Vertinimo kontekstas;</w:t>
      </w:r>
    </w:p>
    <w:p w14:paraId="742C3FC7" w14:textId="77777777" w:rsidR="000C6A0C" w:rsidRPr="000C6A0C" w:rsidRDefault="000C6A0C" w:rsidP="000C6A0C">
      <w:pPr>
        <w:numPr>
          <w:ilvl w:val="1"/>
          <w:numId w:val="1"/>
        </w:numPr>
        <w:tabs>
          <w:tab w:val="left" w:pos="993"/>
        </w:tabs>
        <w:spacing w:after="20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Vertinime taikyta vertinimo metodika (vertinime taikomų metodų aprašymas ir pagrindimas, vertinimo kriterijai, duomenų šaltiniai, informacija apie tai, kaip apskaičiuoti rodikliai ir kt.);</w:t>
      </w:r>
    </w:p>
    <w:p w14:paraId="60979C8B" w14:textId="77777777" w:rsidR="000C6A0C" w:rsidRPr="000C6A0C" w:rsidRDefault="000C6A0C" w:rsidP="000C6A0C">
      <w:pPr>
        <w:numPr>
          <w:ilvl w:val="1"/>
          <w:numId w:val="1"/>
        </w:numPr>
        <w:tabs>
          <w:tab w:val="left" w:pos="993"/>
        </w:tabs>
        <w:spacing w:after="20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analizė ir atsakymai į 6 punkte pateiktus vertinimo klausimus (atskiruose skyriuose pagal kiekvieną uždavinį ir atskiruose poskyriuose pagal kiekvieną vertinimo klausimą);</w:t>
      </w:r>
    </w:p>
    <w:p w14:paraId="335D6606" w14:textId="77777777" w:rsidR="000C6A0C" w:rsidRPr="000C6A0C" w:rsidRDefault="000C6A0C" w:rsidP="000C6A0C">
      <w:pPr>
        <w:numPr>
          <w:ilvl w:val="1"/>
          <w:numId w:val="1"/>
        </w:numPr>
        <w:tabs>
          <w:tab w:val="left" w:pos="993"/>
        </w:tabs>
        <w:spacing w:after="20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išvados ir rekomendacijos pagal kiekvieną vertinimo klausimą atskirai;</w:t>
      </w:r>
    </w:p>
    <w:p w14:paraId="211FD2BE" w14:textId="77777777" w:rsidR="000C6A0C" w:rsidRPr="000C6A0C" w:rsidRDefault="000C6A0C" w:rsidP="000C6A0C">
      <w:pPr>
        <w:numPr>
          <w:ilvl w:val="1"/>
          <w:numId w:val="1"/>
        </w:numPr>
        <w:tabs>
          <w:tab w:val="left" w:pos="993"/>
        </w:tabs>
        <w:spacing w:after="20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literatūra ir šaltiniai;</w:t>
      </w:r>
    </w:p>
    <w:p w14:paraId="5CE47F57" w14:textId="77777777" w:rsidR="000C6A0C" w:rsidRPr="000C6A0C" w:rsidRDefault="000C6A0C" w:rsidP="000C6A0C">
      <w:pPr>
        <w:numPr>
          <w:ilvl w:val="1"/>
          <w:numId w:val="1"/>
        </w:numPr>
        <w:tabs>
          <w:tab w:val="left" w:pos="993"/>
        </w:tabs>
        <w:spacing w:after="20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 xml:space="preserve">santrauka lietuvių k.; </w:t>
      </w:r>
    </w:p>
    <w:p w14:paraId="44F60EE9" w14:textId="77777777" w:rsidR="000C6A0C" w:rsidRPr="000C6A0C" w:rsidRDefault="000C6A0C" w:rsidP="000C6A0C">
      <w:pPr>
        <w:numPr>
          <w:ilvl w:val="1"/>
          <w:numId w:val="1"/>
        </w:numPr>
        <w:tabs>
          <w:tab w:val="left" w:pos="993"/>
        </w:tabs>
        <w:spacing w:after="200" w:line="264" w:lineRule="auto"/>
        <w:ind w:left="0" w:firstLine="709"/>
        <w:contextualSpacing/>
        <w:jc w:val="both"/>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 xml:space="preserve">priedai (jeigu bus). </w:t>
      </w:r>
    </w:p>
    <w:p w14:paraId="2EA6E679" w14:textId="77777777" w:rsidR="000C6A0C" w:rsidRPr="000C6A0C" w:rsidRDefault="000C6A0C" w:rsidP="000C6A0C">
      <w:pPr>
        <w:numPr>
          <w:ilvl w:val="0"/>
          <w:numId w:val="1"/>
        </w:numPr>
        <w:tabs>
          <w:tab w:val="left" w:pos="-2268"/>
          <w:tab w:val="left" w:pos="993"/>
        </w:tabs>
        <w:overflowPunct w:val="0"/>
        <w:autoSpaceDE w:val="0"/>
        <w:autoSpaceDN w:val="0"/>
        <w:adjustRightInd w:val="0"/>
        <w:spacing w:after="200" w:line="264" w:lineRule="auto"/>
        <w:ind w:left="0" w:firstLine="709"/>
        <w:contextualSpacing/>
        <w:jc w:val="both"/>
        <w:textAlignment w:val="baseline"/>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 xml:space="preserve">Tarpinę ir Galutinę vertinimo ataskaitas bei Galutinės vertinimo ataskaitos projektą vertins atsakingi Užsakovo struktūriniai padaliniai. </w:t>
      </w:r>
    </w:p>
    <w:p w14:paraId="53E48407" w14:textId="77777777" w:rsidR="000C6A0C" w:rsidRPr="000C6A0C" w:rsidRDefault="000C6A0C" w:rsidP="000C6A0C">
      <w:pPr>
        <w:numPr>
          <w:ilvl w:val="0"/>
          <w:numId w:val="1"/>
        </w:numPr>
        <w:tabs>
          <w:tab w:val="left" w:pos="-2268"/>
          <w:tab w:val="left" w:pos="993"/>
        </w:tabs>
        <w:overflowPunct w:val="0"/>
        <w:autoSpaceDE w:val="0"/>
        <w:autoSpaceDN w:val="0"/>
        <w:adjustRightInd w:val="0"/>
        <w:spacing w:after="200" w:line="264" w:lineRule="auto"/>
        <w:ind w:left="0" w:firstLine="709"/>
        <w:contextualSpacing/>
        <w:jc w:val="both"/>
        <w:textAlignment w:val="baseline"/>
        <w:rPr>
          <w:rFonts w:ascii="Times New Roman" w:eastAsia="Calibri" w:hAnsi="Times New Roman" w:cs="Times New Roman"/>
          <w:kern w:val="0"/>
          <w14:ligatures w14:val="none"/>
        </w:rPr>
      </w:pPr>
      <w:r w:rsidRPr="000C6A0C">
        <w:rPr>
          <w:rFonts w:ascii="Times New Roman" w:eastAsia="Calibri" w:hAnsi="Times New Roman" w:cs="Times New Roman"/>
          <w:kern w:val="0"/>
          <w14:ligatures w14:val="none"/>
        </w:rPr>
        <w:t xml:space="preserve">Už Vertinimo koordinavimą atsakingas Ministerijos </w:t>
      </w:r>
      <w:r w:rsidRPr="000C6A0C">
        <w:rPr>
          <w:rFonts w:ascii="Times New Roman" w:eastAsia="Times New Roman" w:hAnsi="Times New Roman" w:cs="Times New Roman"/>
          <w:kern w:val="0"/>
          <w14:ligatures w14:val="none"/>
        </w:rPr>
        <w:t>Europos Sąjungos paramos politikos departamento Išmokų už plotus skyrius</w:t>
      </w:r>
      <w:r w:rsidRPr="000C6A0C">
        <w:rPr>
          <w:rFonts w:ascii="Times New Roman" w:eastAsia="Calibri" w:hAnsi="Times New Roman" w:cs="Times New Roman"/>
          <w:kern w:val="0"/>
          <w14:ligatures w14:val="none"/>
        </w:rPr>
        <w:t>.</w:t>
      </w:r>
    </w:p>
    <w:p w14:paraId="00A9D2BE" w14:textId="77777777" w:rsidR="000C6A0C" w:rsidRPr="000C6A0C" w:rsidRDefault="000C6A0C" w:rsidP="000C6A0C">
      <w:pPr>
        <w:tabs>
          <w:tab w:val="left" w:pos="993"/>
        </w:tabs>
        <w:spacing w:after="0" w:line="300" w:lineRule="auto"/>
        <w:ind w:firstLine="709"/>
        <w:jc w:val="both"/>
        <w:rPr>
          <w:rFonts w:ascii="Times New Roman" w:eastAsia="Calibri" w:hAnsi="Times New Roman" w:cs="Times New Roman"/>
          <w:kern w:val="0"/>
          <w:lang w:eastAsia="lt-LT"/>
          <w14:ligatures w14:val="none"/>
        </w:rPr>
      </w:pPr>
    </w:p>
    <w:p w14:paraId="0E068078" w14:textId="77777777" w:rsidR="000C6A0C" w:rsidRPr="000C6A0C" w:rsidRDefault="000C6A0C" w:rsidP="000C6A0C">
      <w:pPr>
        <w:tabs>
          <w:tab w:val="left" w:pos="993"/>
        </w:tabs>
        <w:spacing w:after="0" w:line="300" w:lineRule="auto"/>
        <w:ind w:firstLine="709"/>
        <w:jc w:val="center"/>
        <w:rPr>
          <w:rFonts w:ascii="Times New Roman" w:eastAsia="Calibri" w:hAnsi="Times New Roman" w:cs="Times New Roman"/>
          <w:kern w:val="0"/>
          <w:lang w:eastAsia="lt-LT"/>
          <w14:ligatures w14:val="none"/>
        </w:rPr>
      </w:pPr>
      <w:r w:rsidRPr="000C6A0C">
        <w:rPr>
          <w:rFonts w:ascii="Times New Roman" w:eastAsia="Calibri" w:hAnsi="Times New Roman" w:cs="Times New Roman"/>
          <w:kern w:val="0"/>
          <w:lang w:eastAsia="lt-LT"/>
          <w14:ligatures w14:val="none"/>
        </w:rPr>
        <w:t>______________________</w:t>
      </w:r>
    </w:p>
    <w:bookmarkEnd w:id="1"/>
    <w:bookmarkEnd w:id="2"/>
    <w:p w14:paraId="2409D321" w14:textId="1C2C56FF" w:rsidR="004C383E" w:rsidRPr="000C6A0C" w:rsidRDefault="004C383E" w:rsidP="000C6A0C">
      <w:pPr>
        <w:spacing w:after="0" w:line="300" w:lineRule="auto"/>
        <w:jc w:val="both"/>
        <w:rPr>
          <w:rFonts w:ascii="Times New Roman" w:eastAsia="Calibri" w:hAnsi="Times New Roman" w:cs="Times New Roman"/>
          <w:b/>
          <w:bCs/>
          <w:smallCaps/>
          <w:kern w:val="0"/>
          <w:sz w:val="22"/>
          <w:szCs w:val="22"/>
          <w:lang w:eastAsia="lt-LT"/>
          <w14:ligatures w14:val="none"/>
        </w:rPr>
      </w:pPr>
    </w:p>
    <w:sectPr w:rsidR="004C383E" w:rsidRPr="000C6A0C" w:rsidSect="000C6A0C">
      <w:pgSz w:w="11906" w:h="16838"/>
      <w:pgMar w:top="284" w:right="567" w:bottom="1134"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2D6A" w14:textId="77777777" w:rsidR="000C6A0C" w:rsidRDefault="000C6A0C" w:rsidP="000C6A0C">
      <w:pPr>
        <w:spacing w:after="0" w:line="240" w:lineRule="auto"/>
      </w:pPr>
      <w:r>
        <w:separator/>
      </w:r>
    </w:p>
  </w:endnote>
  <w:endnote w:type="continuationSeparator" w:id="0">
    <w:p w14:paraId="7EEE40F9" w14:textId="77777777" w:rsidR="000C6A0C" w:rsidRDefault="000C6A0C" w:rsidP="000C6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ADFD" w14:textId="77777777" w:rsidR="000C6A0C" w:rsidRDefault="000C6A0C" w:rsidP="000C6A0C">
      <w:pPr>
        <w:spacing w:after="0" w:line="240" w:lineRule="auto"/>
      </w:pPr>
      <w:r>
        <w:separator/>
      </w:r>
    </w:p>
  </w:footnote>
  <w:footnote w:type="continuationSeparator" w:id="0">
    <w:p w14:paraId="52862214" w14:textId="77777777" w:rsidR="000C6A0C" w:rsidRDefault="000C6A0C" w:rsidP="000C6A0C">
      <w:pPr>
        <w:spacing w:after="0" w:line="240" w:lineRule="auto"/>
      </w:pPr>
      <w:r>
        <w:continuationSeparator/>
      </w:r>
    </w:p>
  </w:footnote>
  <w:footnote w:id="1">
    <w:p w14:paraId="52792655" w14:textId="77777777" w:rsidR="000C6A0C" w:rsidRPr="00CD53E8" w:rsidRDefault="000C6A0C" w:rsidP="000C6A0C">
      <w:pPr>
        <w:pStyle w:val="Puslapioinaostekstas"/>
        <w:contextualSpacing/>
        <w:rPr>
          <w:rFonts w:ascii="Times New Roman" w:hAnsi="Times New Roman" w:cs="Times New Roman"/>
        </w:rPr>
      </w:pPr>
      <w:r w:rsidRPr="00CD53E8">
        <w:rPr>
          <w:rStyle w:val="Puslapioinaosnuoroda"/>
          <w:rFonts w:ascii="Times New Roman" w:hAnsi="Times New Roman" w:cs="Times New Roman"/>
        </w:rPr>
        <w:footnoteRef/>
      </w:r>
      <w:r w:rsidRPr="00CD53E8">
        <w:rPr>
          <w:rFonts w:ascii="Times New Roman" w:hAnsi="Times New Roman" w:cs="Times New Roman"/>
        </w:rPr>
        <w:t xml:space="preserve"> Europos Parlamento ir Tarybos reglamento (ES) 2021/2115 31 str. 6 dalies nuostatos.</w:t>
      </w:r>
    </w:p>
  </w:footnote>
  <w:footnote w:id="2">
    <w:p w14:paraId="0CC07338" w14:textId="77777777" w:rsidR="000C6A0C" w:rsidRPr="00CD53E8" w:rsidRDefault="000C6A0C" w:rsidP="000C6A0C">
      <w:pPr>
        <w:pStyle w:val="Default"/>
        <w:contextualSpacing/>
        <w:jc w:val="both"/>
      </w:pPr>
      <w:r w:rsidRPr="00CD53E8">
        <w:rPr>
          <w:rStyle w:val="Puslapioinaosnuoroda"/>
          <w:sz w:val="20"/>
          <w:szCs w:val="20"/>
        </w:rPr>
        <w:footnoteRef/>
      </w:r>
      <w:r w:rsidRPr="00CD53E8">
        <w:rPr>
          <w:sz w:val="22"/>
          <w:szCs w:val="22"/>
        </w:rPr>
        <w:t xml:space="preserve"> </w:t>
      </w:r>
      <w:r w:rsidRPr="00CD53E8">
        <w:rPr>
          <w:sz w:val="20"/>
          <w:szCs w:val="20"/>
        </w:rPr>
        <w:t>Pagal</w:t>
      </w:r>
      <w:r w:rsidRPr="00CD53E8">
        <w:t xml:space="preserve"> </w:t>
      </w:r>
      <w:r w:rsidRPr="00CD53E8">
        <w:rPr>
          <w:sz w:val="20"/>
          <w:szCs w:val="20"/>
        </w:rPr>
        <w:t>Mėšlo ir srutų tvarkymo aplinkosaugos reikalavimų aprašo, patvirtinto Lietuvos Respublikos aplinkos ministro ir Lietuvos Respublikos žemės ūkio ministro 2005 m. liepos 14 d. įsakymu Nr. D1-367/3D-342 „Dėl mėšlo ir srutų tvarkymo aplinkosaugos reikalavimo aprašo patvirtinimo“, 23</w:t>
      </w:r>
      <w:r w:rsidRPr="00CD53E8">
        <w:rPr>
          <w:sz w:val="20"/>
          <w:szCs w:val="20"/>
          <w:vertAlign w:val="superscript"/>
        </w:rPr>
        <w:t>1</w:t>
      </w:r>
      <w:r w:rsidRPr="00CD53E8">
        <w:rPr>
          <w:sz w:val="20"/>
          <w:szCs w:val="20"/>
        </w:rPr>
        <w:t xml:space="preserve"> punkto nuostatas.</w:t>
      </w:r>
    </w:p>
  </w:footnote>
  <w:footnote w:id="3">
    <w:p w14:paraId="4E10EF87" w14:textId="77777777" w:rsidR="000C6A0C" w:rsidRPr="004D74FE" w:rsidRDefault="000C6A0C" w:rsidP="000C6A0C">
      <w:pPr>
        <w:pStyle w:val="Puslapioinaostekstas"/>
        <w:contextualSpacing/>
        <w:rPr>
          <w:rFonts w:ascii="Times New Roman" w:hAnsi="Times New Roman" w:cs="Times New Roman"/>
        </w:rPr>
      </w:pPr>
      <w:r w:rsidRPr="00CD53E8">
        <w:rPr>
          <w:rStyle w:val="Puslapioinaosnuoroda"/>
        </w:rPr>
        <w:footnoteRef/>
      </w:r>
      <w:r w:rsidRPr="00CD53E8">
        <w:t xml:space="preserve"> </w:t>
      </w:r>
      <w:r w:rsidRPr="00CD53E8">
        <w:rPr>
          <w:rFonts w:ascii="Times New Roman" w:hAnsi="Times New Roman" w:cs="Times New Roman"/>
        </w:rPr>
        <w:t xml:space="preserve">Žemės ūkio naudmenų ir kitų plotų klasifikatoriaus (toliau – Klasifikatorius), patvirtinto </w:t>
      </w:r>
      <w:r w:rsidRPr="00CD53E8">
        <w:rPr>
          <w:rFonts w:ascii="Times New Roman" w:hAnsi="Times New Roman"/>
        </w:rPr>
        <w:t>Lietuvos Respublikos žemės ūkio ministro 2023 m. vasario 20 d. įsakymu Nr. 3D-92 „Dėl Paramos už žemės ūkio naudmenas ir kitus plotus bei ūkinius gyvūnus paraiškos ir tiesioginių išmokų administravimo bei kontrolės taisyklių patvirtinimo“ 2 priede</w:t>
      </w:r>
      <w:r w:rsidRPr="00CD53E8">
        <w:rPr>
          <w:rFonts w:ascii="Times New Roman" w:hAnsi="Times New Roman" w:cs="Times New Roman"/>
        </w:rPr>
        <w:t>, I−III grupės.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41C90"/>
    <w:multiLevelType w:val="multilevel"/>
    <w:tmpl w:val="BF2C9574"/>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289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0C"/>
    <w:rsid w:val="000C6A0C"/>
    <w:rsid w:val="004C383E"/>
    <w:rsid w:val="00AE4866"/>
    <w:rsid w:val="00CF18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26D1"/>
  <w15:chartTrackingRefBased/>
  <w15:docId w15:val="{76D26B79-D202-4674-978A-357E166C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C6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6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6A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6A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6A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6A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6A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6A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6A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6A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6A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6A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6A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6A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6A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6A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6A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6A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6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6A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6A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6A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6A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6A0C"/>
    <w:rPr>
      <w:i/>
      <w:iCs/>
      <w:color w:val="404040" w:themeColor="text1" w:themeTint="BF"/>
    </w:rPr>
  </w:style>
  <w:style w:type="paragraph" w:styleId="Sraopastraipa">
    <w:name w:val="List Paragraph"/>
    <w:basedOn w:val="prastasis"/>
    <w:uiPriority w:val="34"/>
    <w:qFormat/>
    <w:rsid w:val="000C6A0C"/>
    <w:pPr>
      <w:ind w:left="720"/>
      <w:contextualSpacing/>
    </w:pPr>
  </w:style>
  <w:style w:type="character" w:styleId="Rykuspabraukimas">
    <w:name w:val="Intense Emphasis"/>
    <w:basedOn w:val="Numatytasispastraiposriftas"/>
    <w:uiPriority w:val="21"/>
    <w:qFormat/>
    <w:rsid w:val="000C6A0C"/>
    <w:rPr>
      <w:i/>
      <w:iCs/>
      <w:color w:val="0F4761" w:themeColor="accent1" w:themeShade="BF"/>
    </w:rPr>
  </w:style>
  <w:style w:type="paragraph" w:styleId="Iskirtacitata">
    <w:name w:val="Intense Quote"/>
    <w:basedOn w:val="prastasis"/>
    <w:next w:val="prastasis"/>
    <w:link w:val="IskirtacitataDiagrama"/>
    <w:uiPriority w:val="30"/>
    <w:qFormat/>
    <w:rsid w:val="000C6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6A0C"/>
    <w:rPr>
      <w:i/>
      <w:iCs/>
      <w:color w:val="0F4761" w:themeColor="accent1" w:themeShade="BF"/>
    </w:rPr>
  </w:style>
  <w:style w:type="character" w:styleId="Rykinuoroda">
    <w:name w:val="Intense Reference"/>
    <w:basedOn w:val="Numatytasispastraiposriftas"/>
    <w:uiPriority w:val="32"/>
    <w:qFormat/>
    <w:rsid w:val="000C6A0C"/>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0C6A0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C6A0C"/>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Isnasos nuoroda"/>
    <w:basedOn w:val="Numatytasispastraiposriftas"/>
    <w:uiPriority w:val="99"/>
    <w:unhideWhenUsed/>
    <w:qFormat/>
    <w:rsid w:val="000C6A0C"/>
    <w:rPr>
      <w:vertAlign w:val="superscript"/>
    </w:rPr>
  </w:style>
  <w:style w:type="table" w:customStyle="1" w:styleId="Lentelstinklelis12">
    <w:name w:val="Lentelės tinklelis12"/>
    <w:basedOn w:val="prastojilentel"/>
    <w:next w:val="Lentelstinklelis"/>
    <w:uiPriority w:val="39"/>
    <w:rsid w:val="000C6A0C"/>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6A0C"/>
    <w:pPr>
      <w:autoSpaceDE w:val="0"/>
      <w:autoSpaceDN w:val="0"/>
      <w:adjustRightInd w:val="0"/>
      <w:spacing w:after="0" w:line="240" w:lineRule="auto"/>
    </w:pPr>
    <w:rPr>
      <w:rFonts w:ascii="Times New Roman" w:hAnsi="Times New Roman" w:cs="Times New Roman"/>
      <w:color w:val="000000"/>
      <w:kern w:val="0"/>
    </w:rPr>
  </w:style>
  <w:style w:type="table" w:styleId="Lentelstinklelis">
    <w:name w:val="Table Grid"/>
    <w:basedOn w:val="prastojilentel"/>
    <w:uiPriority w:val="39"/>
    <w:rsid w:val="000C6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8020</Words>
  <Characters>4572</Characters>
  <Application>Microsoft Office Word</Application>
  <DocSecurity>0</DocSecurity>
  <Lines>38</Lines>
  <Paragraphs>25</Paragraphs>
  <ScaleCrop>false</ScaleCrop>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1</cp:revision>
  <dcterms:created xsi:type="dcterms:W3CDTF">2025-10-20T10:41:00Z</dcterms:created>
  <dcterms:modified xsi:type="dcterms:W3CDTF">2025-10-20T10:50:00Z</dcterms:modified>
</cp:coreProperties>
</file>