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F4A1272" w:rsidR="00AD0CC0" w:rsidRPr="00E86092" w:rsidRDefault="00E86092" w:rsidP="008019D0">
            <w:pPr>
              <w:rPr>
                <w:rFonts w:ascii="Times New Roman" w:hAnsi="Times New Roman"/>
                <w:bCs/>
                <w:iCs/>
                <w:sz w:val="24"/>
                <w:szCs w:val="24"/>
                <w:lang w:val="lt-LT" w:eastAsia="lt-LT"/>
              </w:rPr>
            </w:pPr>
            <w:bookmarkStart w:id="0" w:name="OLE_LINK1"/>
            <w:bookmarkStart w:id="1" w:name="OLE_LINK2"/>
            <w:r>
              <w:rPr>
                <w:rFonts w:ascii="Times New Roman" w:hAnsi="Times New Roman"/>
                <w:b/>
                <w:sz w:val="24"/>
                <w:szCs w:val="24"/>
              </w:rPr>
              <w:t>VBE</w:t>
            </w:r>
            <w:r w:rsidRPr="00E86092">
              <w:rPr>
                <w:rFonts w:ascii="Times New Roman" w:hAnsi="Times New Roman"/>
                <w:b/>
                <w:sz w:val="24"/>
                <w:szCs w:val="24"/>
              </w:rPr>
              <w:t xml:space="preserve"> užduočių parengimo, vertinimo </w:t>
            </w:r>
            <w:bookmarkEnd w:id="0"/>
            <w:bookmarkEnd w:id="1"/>
            <w:r w:rsidRPr="00E86092">
              <w:rPr>
                <w:rFonts w:ascii="Times New Roman" w:hAnsi="Times New Roman"/>
                <w:b/>
                <w:sz w:val="24"/>
                <w:szCs w:val="24"/>
              </w:rPr>
              <w:t xml:space="preserve">ir recenzavimo </w:t>
            </w:r>
            <w:r w:rsidRPr="00E86092">
              <w:rPr>
                <w:rFonts w:ascii="Times New Roman" w:eastAsia="Times New Roman" w:hAnsi="Times New Roman"/>
                <w:b/>
                <w:bCs/>
                <w:color w:val="000000"/>
                <w:sz w:val="24"/>
                <w:szCs w:val="24"/>
                <w:lang w:eastAsia="lt-LT"/>
              </w:rPr>
              <w:t>paslaugų</w:t>
            </w:r>
            <w:r w:rsidRPr="00E86092">
              <w:rPr>
                <w:rFonts w:ascii="Times New Roman" w:hAnsi="Times New Roman"/>
                <w:b/>
                <w:sz w:val="24"/>
                <w:szCs w:val="24"/>
              </w:rPr>
              <w:t xml:space="preserve"> (ekonomika ir verslumas) </w:t>
            </w:r>
            <w:r w:rsidRPr="00E86092">
              <w:rPr>
                <w:rFonts w:ascii="Times New Roman" w:eastAsia="Times New Roman" w:hAnsi="Times New Roman"/>
                <w:b/>
                <w:bCs/>
                <w:sz w:val="24"/>
                <w:szCs w:val="24"/>
                <w:lang w:val="it-IT"/>
              </w:rPr>
              <w:t>pirkimas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Pr="00435ED9" w:rsidRDefault="001833A9" w:rsidP="000D3B43">
            <w:pPr>
              <w:rPr>
                <w:rFonts w:ascii="Times New Roman" w:hAnsi="Times New Roman"/>
                <w:iCs/>
                <w:sz w:val="24"/>
                <w:szCs w:val="24"/>
                <w:lang w:val="lt-LT"/>
              </w:rPr>
            </w:pPr>
            <w:r w:rsidRPr="00435ED9">
              <w:rPr>
                <w:rFonts w:ascii="Times New Roman" w:hAnsi="Times New Roman"/>
                <w:iCs/>
                <w:sz w:val="24"/>
                <w:szCs w:val="24"/>
                <w:lang w:val="lt-LT"/>
              </w:rPr>
              <w:t>Dainiu</w:t>
            </w:r>
            <w:r w:rsidR="00735AB4" w:rsidRPr="00435ED9">
              <w:rPr>
                <w:rFonts w:ascii="Times New Roman" w:hAnsi="Times New Roman"/>
                <w:iCs/>
                <w:sz w:val="24"/>
                <w:szCs w:val="24"/>
                <w:lang w:val="lt-LT"/>
              </w:rPr>
              <w:t xml:space="preserve">s </w:t>
            </w:r>
            <w:r w:rsidRPr="00435ED9">
              <w:rPr>
                <w:rFonts w:ascii="Times New Roman" w:hAnsi="Times New Roman"/>
                <w:iCs/>
                <w:sz w:val="24"/>
                <w:szCs w:val="24"/>
                <w:lang w:val="lt-LT"/>
              </w:rPr>
              <w:t>Liniauskas</w:t>
            </w:r>
            <w:r w:rsidR="00411E77" w:rsidRPr="00435ED9">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435ED9">
              <w:rPr>
                <w:rFonts w:ascii="Times New Roman" w:hAnsi="Times New Roman"/>
                <w:iCs/>
                <w:sz w:val="24"/>
                <w:szCs w:val="24"/>
                <w:lang w:val="lt-LT"/>
              </w:rPr>
              <w:t xml:space="preserve">el. </w:t>
            </w:r>
            <w:r w:rsidR="00F31DDF" w:rsidRPr="00435ED9">
              <w:rPr>
                <w:rFonts w:ascii="Times New Roman" w:hAnsi="Times New Roman"/>
                <w:iCs/>
                <w:sz w:val="24"/>
                <w:szCs w:val="24"/>
                <w:lang w:val="lt-LT"/>
              </w:rPr>
              <w:t>p</w:t>
            </w:r>
            <w:r w:rsidRPr="00435ED9">
              <w:rPr>
                <w:rFonts w:ascii="Times New Roman" w:hAnsi="Times New Roman"/>
                <w:iCs/>
                <w:sz w:val="24"/>
                <w:szCs w:val="24"/>
                <w:lang w:val="lt-LT"/>
              </w:rPr>
              <w:t>a</w:t>
            </w:r>
            <w:r w:rsidR="00F31DDF" w:rsidRPr="00435ED9">
              <w:rPr>
                <w:rFonts w:ascii="Times New Roman" w:hAnsi="Times New Roman"/>
                <w:iCs/>
                <w:sz w:val="24"/>
                <w:szCs w:val="24"/>
                <w:lang w:val="lt-LT"/>
              </w:rPr>
              <w:t>š</w:t>
            </w:r>
            <w:r w:rsidRPr="00435ED9">
              <w:rPr>
                <w:rFonts w:ascii="Times New Roman" w:hAnsi="Times New Roman"/>
                <w:iCs/>
                <w:sz w:val="24"/>
                <w:szCs w:val="24"/>
                <w:lang w:val="lt-LT"/>
              </w:rPr>
              <w:t xml:space="preserve">tas </w:t>
            </w:r>
            <w:hyperlink r:id="rId5" w:history="1">
              <w:r w:rsidR="001833A9" w:rsidRPr="00435ED9">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506A045B"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69584F">
              <w:rPr>
                <w:rFonts w:ascii="Times New Roman" w:hAnsi="Times New Roman"/>
                <w:bCs/>
                <w:iCs/>
                <w:sz w:val="24"/>
                <w:szCs w:val="24"/>
                <w:lang w:val="lt-LT"/>
              </w:rPr>
              <w:t>1</w:t>
            </w:r>
            <w:r w:rsidR="00A04173" w:rsidRPr="007D46D3">
              <w:rPr>
                <w:rFonts w:ascii="Times New Roman" w:hAnsi="Times New Roman"/>
                <w:bCs/>
                <w:iCs/>
                <w:sz w:val="24"/>
                <w:szCs w:val="24"/>
                <w:highlight w:val="yellow"/>
                <w:lang w:val="lt-LT"/>
              </w:rPr>
              <w:t>0</w:t>
            </w:r>
            <w:r w:rsidR="001E23C4" w:rsidRPr="007D46D3">
              <w:rPr>
                <w:rFonts w:ascii="Times New Roman" w:hAnsi="Times New Roman"/>
                <w:bCs/>
                <w:iCs/>
                <w:sz w:val="24"/>
                <w:szCs w:val="24"/>
                <w:lang w:val="lt-LT"/>
              </w:rPr>
              <w:t>-</w:t>
            </w:r>
            <w:r w:rsidR="00731FE9">
              <w:rPr>
                <w:rFonts w:ascii="Times New Roman" w:hAnsi="Times New Roman"/>
                <w:bCs/>
                <w:iCs/>
                <w:sz w:val="24"/>
                <w:szCs w:val="24"/>
                <w:lang w:val="lt-LT"/>
              </w:rPr>
              <w:t>28</w:t>
            </w:r>
            <w:r w:rsidR="001833A9" w:rsidRPr="007D46D3">
              <w:rPr>
                <w:rFonts w:ascii="Times New Roman" w:hAnsi="Times New Roman"/>
                <w:bCs/>
                <w:iCs/>
                <w:sz w:val="24"/>
                <w:szCs w:val="24"/>
                <w:lang w:val="lt-LT"/>
              </w:rPr>
              <w:t xml:space="preserve"> </w:t>
            </w:r>
            <w:r w:rsidR="004162FD" w:rsidRPr="007D46D3">
              <w:rPr>
                <w:rFonts w:ascii="Times New Roman" w:hAnsi="Times New Roman"/>
                <w:bCs/>
                <w:iCs/>
                <w:sz w:val="24"/>
                <w:szCs w:val="24"/>
                <w:lang w:val="lt-LT"/>
              </w:rPr>
              <w:t xml:space="preserve"> </w:t>
            </w:r>
            <w:r w:rsidR="007D46D3">
              <w:rPr>
                <w:rFonts w:ascii="Times New Roman" w:hAnsi="Times New Roman"/>
                <w:bCs/>
                <w:iCs/>
                <w:sz w:val="24"/>
                <w:szCs w:val="24"/>
              </w:rPr>
              <w:t xml:space="preserve">  </w:t>
            </w:r>
            <w:r w:rsidR="00731FE9">
              <w:rPr>
                <w:rFonts w:ascii="Times New Roman" w:hAnsi="Times New Roman"/>
                <w:bCs/>
                <w:iCs/>
                <w:sz w:val="24"/>
                <w:szCs w:val="24"/>
              </w:rPr>
              <w:t>11</w:t>
            </w:r>
            <w:r w:rsidR="004162FD">
              <w:rPr>
                <w:rFonts w:ascii="Times New Roman" w:hAnsi="Times New Roman"/>
                <w:bCs/>
                <w:iCs/>
                <w:sz w:val="24"/>
                <w:szCs w:val="24"/>
              </w:rPr>
              <w:t xml:space="preserve">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13931495">
    <w:abstractNumId w:val="2"/>
  </w:num>
  <w:num w:numId="2" w16cid:durableId="971790984">
    <w:abstractNumId w:val="1"/>
  </w:num>
  <w:num w:numId="3" w16cid:durableId="137464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8529D"/>
    <w:rsid w:val="000A0E1E"/>
    <w:rsid w:val="000A14D2"/>
    <w:rsid w:val="00123862"/>
    <w:rsid w:val="001833A9"/>
    <w:rsid w:val="001E23C4"/>
    <w:rsid w:val="00293803"/>
    <w:rsid w:val="002B489A"/>
    <w:rsid w:val="0038129A"/>
    <w:rsid w:val="00411E77"/>
    <w:rsid w:val="004162FD"/>
    <w:rsid w:val="004337A6"/>
    <w:rsid w:val="00435ED9"/>
    <w:rsid w:val="00510CD9"/>
    <w:rsid w:val="0069584F"/>
    <w:rsid w:val="00703B29"/>
    <w:rsid w:val="00731FE9"/>
    <w:rsid w:val="00735AB4"/>
    <w:rsid w:val="00773918"/>
    <w:rsid w:val="007B1F20"/>
    <w:rsid w:val="007D46D3"/>
    <w:rsid w:val="008019D0"/>
    <w:rsid w:val="0080560A"/>
    <w:rsid w:val="008379E6"/>
    <w:rsid w:val="008C215C"/>
    <w:rsid w:val="0093575C"/>
    <w:rsid w:val="00952B36"/>
    <w:rsid w:val="00964518"/>
    <w:rsid w:val="009F21C7"/>
    <w:rsid w:val="00A04173"/>
    <w:rsid w:val="00AA6FFE"/>
    <w:rsid w:val="00AB4B6B"/>
    <w:rsid w:val="00AB604E"/>
    <w:rsid w:val="00AD0CC0"/>
    <w:rsid w:val="00B37D6C"/>
    <w:rsid w:val="00BB2C0E"/>
    <w:rsid w:val="00C10B83"/>
    <w:rsid w:val="00C25A74"/>
    <w:rsid w:val="00CF35C5"/>
    <w:rsid w:val="00CF41A9"/>
    <w:rsid w:val="00D653AD"/>
    <w:rsid w:val="00D813C2"/>
    <w:rsid w:val="00E753E1"/>
    <w:rsid w:val="00E86092"/>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2035</Words>
  <Characters>1161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2025-10-21T07:11:00Z</dcterms:created>
  <dcterms:modified xsi:type="dcterms:W3CDTF">2025-10-21T07:12:00Z</dcterms:modified>
</cp:coreProperties>
</file>