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bookmarkStart w:id="0" w:name="_GoBack"/>
            <w:bookmarkEnd w:id="0"/>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6A10CD">
        <w:rPr>
          <w:rFonts w:asciiTheme="majorHAnsi" w:hAnsiTheme="majorHAnsi"/>
          <w:iCs/>
          <w:sz w:val="22"/>
          <w:szCs w:val="22"/>
        </w:rPr>
        <w:t>4764960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6A10CD">
        <w:rPr>
          <w:rFonts w:asciiTheme="majorHAnsi" w:hAnsiTheme="majorHAnsi"/>
          <w:sz w:val="22"/>
          <w:szCs w:val="22"/>
        </w:rPr>
        <w:t>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B3A33"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B3A33"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B3A33"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B3A33"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B3A33"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0876C6">
        <w:rPr>
          <w:rFonts w:asciiTheme="majorHAnsi" w:hAnsiTheme="majorHAnsi"/>
          <w:b/>
          <w:iCs/>
          <w:color w:val="548DD4" w:themeColor="text2" w:themeTint="99"/>
        </w:rPr>
        <w:t>spalio 31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0876C6">
        <w:rPr>
          <w:rFonts w:asciiTheme="majorHAnsi" w:hAnsiTheme="majorHAnsi"/>
          <w:b/>
          <w:iCs/>
          <w:color w:val="548DD4" w:themeColor="text2" w:themeTint="99"/>
        </w:rPr>
        <w:t>1</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323D69" w:rsidRPr="00323D69">
        <w:rPr>
          <w:rFonts w:asciiTheme="majorHAnsi" w:hAnsiTheme="majorHAnsi"/>
          <w:b/>
          <w:iCs/>
          <w:color w:val="548DD4" w:themeColor="text2" w:themeTint="99"/>
          <w:u w:val="single"/>
        </w:rPr>
        <w:t>spalio 31 d</w:t>
      </w:r>
      <w:r w:rsidR="00F67163" w:rsidRPr="00323D69">
        <w:rPr>
          <w:rFonts w:asciiTheme="majorHAnsi" w:hAnsiTheme="majorHAnsi"/>
          <w:b/>
          <w:iCs/>
          <w:color w:val="548DD4" w:themeColor="text2" w:themeTint="99"/>
          <w:sz w:val="22"/>
          <w:szCs w:val="22"/>
          <w:u w:val="single"/>
        </w:rPr>
        <w:t>.</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323D69">
        <w:rPr>
          <w:rFonts w:asciiTheme="majorHAnsi" w:hAnsiTheme="majorHAnsi"/>
          <w:b/>
          <w:iCs/>
          <w:color w:val="548DD4" w:themeColor="text2" w:themeTint="99"/>
          <w:sz w:val="22"/>
          <w:szCs w:val="22"/>
          <w:u w:val="single"/>
        </w:rPr>
        <w:t>2</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323D69" w:rsidRPr="00323D69">
        <w:rPr>
          <w:rFonts w:asciiTheme="majorHAnsi" w:hAnsiTheme="majorHAnsi"/>
          <w:b/>
          <w:iCs/>
          <w:color w:val="548DD4" w:themeColor="text2" w:themeTint="99"/>
          <w:sz w:val="22"/>
          <w:szCs w:val="22"/>
          <w:u w:val="single"/>
        </w:rPr>
        <w:t>spalio 31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323D69">
        <w:rPr>
          <w:rFonts w:asciiTheme="majorHAnsi" w:hAnsiTheme="majorHAnsi"/>
          <w:b/>
          <w:iCs/>
          <w:color w:val="548DD4" w:themeColor="text2" w:themeTint="99"/>
          <w:sz w:val="22"/>
          <w:szCs w:val="22"/>
          <w:u w:val="single"/>
        </w:rPr>
        <w:t>1</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323D69">
        <w:rPr>
          <w:rFonts w:asciiTheme="majorHAnsi" w:hAnsiTheme="majorHAnsi"/>
          <w:b/>
          <w:iCs/>
          <w:color w:val="548DD4" w:themeColor="text2" w:themeTint="99"/>
          <w:sz w:val="22"/>
          <w:szCs w:val="22"/>
          <w:u w:val="single"/>
        </w:rPr>
        <w:t>2</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A33" w:rsidRDefault="000B3A33" w:rsidP="00516023">
      <w:r>
        <w:separator/>
      </w:r>
    </w:p>
  </w:endnote>
  <w:endnote w:type="continuationSeparator" w:id="0">
    <w:p w:rsidR="000B3A33" w:rsidRDefault="000B3A33"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A33" w:rsidRDefault="000B3A33" w:rsidP="00516023">
      <w:r>
        <w:separator/>
      </w:r>
    </w:p>
  </w:footnote>
  <w:footnote w:type="continuationSeparator" w:id="0">
    <w:p w:rsidR="000B3A33" w:rsidRDefault="000B3A33"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3D69"/>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4ED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858865-F459-4A89-80CD-F1ECC491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19</Pages>
  <Words>38692</Words>
  <Characters>22056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121</cp:revision>
  <cp:lastPrinted>2024-07-29T06:28:00Z</cp:lastPrinted>
  <dcterms:created xsi:type="dcterms:W3CDTF">2023-03-03T08:33:00Z</dcterms:created>
  <dcterms:modified xsi:type="dcterms:W3CDTF">2025-10-21T07:56:00Z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