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CED98" w14:textId="409240BC" w:rsidR="00C67B3C" w:rsidRDefault="003E1722">
      <w:pPr>
        <w:rPr>
          <w:b/>
          <w:bCs/>
        </w:rPr>
      </w:pPr>
      <w:r>
        <w:rPr>
          <w:b/>
          <w:bCs/>
        </w:rPr>
        <w:t>Tiekėjo Nr. 1 k</w:t>
      </w:r>
      <w:r w:rsidR="00A11279" w:rsidRPr="00A11279">
        <w:rPr>
          <w:b/>
          <w:bCs/>
        </w:rPr>
        <w:t>lausimai:</w:t>
      </w:r>
    </w:p>
    <w:p w14:paraId="01F9DFB4" w14:textId="4821AC7F" w:rsidR="00A11279" w:rsidRPr="00A11279" w:rsidRDefault="00A11279" w:rsidP="00A11279">
      <w:pPr>
        <w:rPr>
          <w:i/>
          <w:iCs/>
        </w:rPr>
      </w:pPr>
      <w:r w:rsidRPr="00A11279">
        <w:rPr>
          <w:i/>
          <w:iCs/>
        </w:rPr>
        <w:t xml:space="preserve">Labas rytas, konsultavomės su keliais kulinarais ir </w:t>
      </w:r>
      <w:proofErr w:type="spellStart"/>
      <w:r w:rsidRPr="00A11279">
        <w:rPr>
          <w:i/>
          <w:iCs/>
        </w:rPr>
        <w:t>edukatoriais</w:t>
      </w:r>
      <w:proofErr w:type="spellEnd"/>
      <w:r w:rsidRPr="00A11279">
        <w:rPr>
          <w:i/>
          <w:iCs/>
        </w:rPr>
        <w:t>, kurie dirba su tvaraus maisto ir „</w:t>
      </w:r>
      <w:proofErr w:type="spellStart"/>
      <w:r w:rsidRPr="00A11279">
        <w:rPr>
          <w:i/>
          <w:iCs/>
        </w:rPr>
        <w:t>zero</w:t>
      </w:r>
      <w:proofErr w:type="spellEnd"/>
      <w:r w:rsidRPr="00A11279">
        <w:rPr>
          <w:i/>
          <w:iCs/>
        </w:rPr>
        <w:t xml:space="preserve"> </w:t>
      </w:r>
      <w:proofErr w:type="spellStart"/>
      <w:r w:rsidRPr="00A11279">
        <w:rPr>
          <w:i/>
          <w:iCs/>
        </w:rPr>
        <w:t>waste</w:t>
      </w:r>
      <w:proofErr w:type="spellEnd"/>
      <w:r w:rsidRPr="00A11279">
        <w:rPr>
          <w:i/>
          <w:iCs/>
        </w:rPr>
        <w:t>“ temomis. Jie atkreipė dėmesį, kad edukacijai, apimančiai tiek teorinę, tiek praktinę dalį, vienos akademinės valandos gali būti per mažai norimam rezultatui pasiekti.</w:t>
      </w:r>
      <w:r w:rsidRPr="00A11279">
        <w:rPr>
          <w:i/>
          <w:iCs/>
        </w:rPr>
        <w:br/>
      </w:r>
      <w:r w:rsidRPr="00A11279">
        <w:rPr>
          <w:i/>
          <w:iCs/>
        </w:rPr>
        <w:br/>
        <w:t>Rengdami pasiūlymą pirkimui „Edukacinės iniciatyvos 5–12 klasių moksleiviams organizavimo</w:t>
      </w:r>
      <w:r w:rsidR="00C34988">
        <w:rPr>
          <w:i/>
          <w:iCs/>
        </w:rPr>
        <w:t xml:space="preserve"> </w:t>
      </w:r>
      <w:r w:rsidRPr="00A11279">
        <w:rPr>
          <w:i/>
          <w:iCs/>
        </w:rPr>
        <w:t>paslaugos“, norėtume patikslinti kelis aspektus, susijusius su edukacijų trukme ir formato lankstumu.</w:t>
      </w:r>
      <w:r w:rsidRPr="00A11279">
        <w:rPr>
          <w:i/>
          <w:iCs/>
        </w:rPr>
        <w:br/>
      </w:r>
      <w:r w:rsidRPr="00A11279">
        <w:rPr>
          <w:i/>
          <w:iCs/>
        </w:rPr>
        <w:br/>
        <w:t>Edukacijos trukmė.</w:t>
      </w:r>
      <w:r w:rsidRPr="00A11279">
        <w:rPr>
          <w:i/>
          <w:iCs/>
        </w:rPr>
        <w:br/>
        <w:t>Techninėje specifikacijoje nurodyta edukacijos trukmė – 45–60 min.</w:t>
      </w:r>
      <w:r w:rsidRPr="00A11279">
        <w:rPr>
          <w:i/>
          <w:iCs/>
        </w:rPr>
        <w:br/>
        <w:t>Ar tiekėjas gali siūlyti ilgesnį formatą (pvz., 75–90 min.), jei to reikalautų edukacijos turinys ir metodika (praktinės veiklos, gamyba, refleksija)?</w:t>
      </w:r>
      <w:r w:rsidRPr="00A11279">
        <w:rPr>
          <w:i/>
          <w:iCs/>
        </w:rPr>
        <w:br/>
      </w:r>
      <w:r w:rsidRPr="00A11279">
        <w:rPr>
          <w:i/>
          <w:iCs/>
        </w:rPr>
        <w:br/>
        <w:t>Proceso gilinimas tai pačiai grupei.</w:t>
      </w:r>
      <w:r w:rsidRPr="00A11279">
        <w:rPr>
          <w:i/>
          <w:iCs/>
        </w:rPr>
        <w:br/>
        <w:t>Ar būtų galima dalį edukacijų planuoti kaip dvigubą procesą tai pačiai grupei (pvz., dvi trumpesnes sesijas išskaidyti į vieną ilgesnį renginį), išlaikant bendrą numatytą renginių ir dalyvių skaičių?</w:t>
      </w:r>
      <w:r w:rsidRPr="00A11279">
        <w:rPr>
          <w:i/>
          <w:iCs/>
        </w:rPr>
        <w:br/>
        <w:t>Tokiu būdu būtų galima pasiekti didesnį edukacinį poveikį – giliau įtraukti mokinius į diskusiją ir praktinį veiksmą.</w:t>
      </w:r>
      <w:r w:rsidRPr="00A11279">
        <w:rPr>
          <w:i/>
          <w:iCs/>
        </w:rPr>
        <w:br/>
      </w:r>
      <w:r w:rsidRPr="00A11279">
        <w:rPr>
          <w:i/>
          <w:iCs/>
        </w:rPr>
        <w:br/>
        <w:t>Laiko planavimo lankstumas.</w:t>
      </w:r>
      <w:r w:rsidRPr="00A11279">
        <w:rPr>
          <w:i/>
          <w:iCs/>
        </w:rPr>
        <w:br/>
        <w:t>Ar edukacijos trukmė yra laikoma griežtu reikalavimu, ar gali būti pateikiama kaip rekomenduojamas intervalas, leidžiantis tiekėjui siūlyti pedagogiškai pagrįstą alternatyvą?</w:t>
      </w:r>
      <w:r w:rsidRPr="00A11279">
        <w:rPr>
          <w:i/>
          <w:iCs/>
        </w:rPr>
        <w:br/>
      </w:r>
      <w:r w:rsidRPr="00A11279">
        <w:rPr>
          <w:i/>
          <w:iCs/>
        </w:rPr>
        <w:br/>
        <w:t>Geros dienos!</w:t>
      </w:r>
    </w:p>
    <w:p w14:paraId="7CAC55FA" w14:textId="412F51AC" w:rsidR="003E1722" w:rsidRDefault="003E1722">
      <w:pPr>
        <w:rPr>
          <w:b/>
          <w:bCs/>
        </w:rPr>
      </w:pPr>
      <w:r>
        <w:rPr>
          <w:b/>
          <w:bCs/>
        </w:rPr>
        <w:t>Tiekėjo Nr. 2 klausimai:</w:t>
      </w:r>
    </w:p>
    <w:p w14:paraId="400018E2" w14:textId="5EA43164" w:rsidR="003E1722" w:rsidRPr="003E1722" w:rsidRDefault="003E1722">
      <w:pPr>
        <w:rPr>
          <w:i/>
          <w:iCs/>
        </w:rPr>
      </w:pPr>
      <w:r w:rsidRPr="003E1722">
        <w:rPr>
          <w:i/>
          <w:iCs/>
        </w:rPr>
        <w:t>ar yra numatyti tarpiniai atsiskaitymai už įgyvendintas paslaugas?</w:t>
      </w:r>
      <w:r w:rsidRPr="003E1722">
        <w:rPr>
          <w:i/>
          <w:iCs/>
        </w:rPr>
        <w:br/>
        <w:t>Ar išskirsčius edukacinių renginių įgyvendinimą per 24 mėn. laikotarpį, bus įmanoma kas mėnesį pateikti ataskaitą už įgyvendintų edukacinių renginių kiekį ir pasirašius paslaugų perdavimo-priėmimo aktą išrašyti tarpines PVM sąskaitas faktūras?</w:t>
      </w:r>
    </w:p>
    <w:p w14:paraId="46984850" w14:textId="56805074" w:rsidR="00A11279" w:rsidRDefault="00A11279">
      <w:pPr>
        <w:rPr>
          <w:b/>
          <w:bCs/>
        </w:rPr>
      </w:pPr>
      <w:r>
        <w:rPr>
          <w:b/>
          <w:bCs/>
        </w:rPr>
        <w:t>Atsakyma</w:t>
      </w:r>
      <w:r w:rsidR="003E1722">
        <w:rPr>
          <w:b/>
          <w:bCs/>
        </w:rPr>
        <w:t>i į klausimus</w:t>
      </w:r>
      <w:r>
        <w:rPr>
          <w:b/>
          <w:bCs/>
        </w:rPr>
        <w:t>:</w:t>
      </w:r>
    </w:p>
    <w:p w14:paraId="37B4AE82" w14:textId="7B2F9626" w:rsidR="00D047BE" w:rsidRDefault="00A11279" w:rsidP="00A772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B60">
        <w:rPr>
          <w:rFonts w:ascii="Times New Roman" w:hAnsi="Times New Roman" w:cs="Times New Roman"/>
          <w:sz w:val="24"/>
          <w:szCs w:val="24"/>
        </w:rPr>
        <w:t>Perkančioji organizacija</w:t>
      </w:r>
      <w:r w:rsidR="00C34988" w:rsidRPr="005E0B60">
        <w:rPr>
          <w:rFonts w:ascii="Times New Roman" w:hAnsi="Times New Roman" w:cs="Times New Roman"/>
          <w:sz w:val="24"/>
          <w:szCs w:val="24"/>
        </w:rPr>
        <w:t>,</w:t>
      </w:r>
      <w:r w:rsidRPr="005E0B60">
        <w:rPr>
          <w:rFonts w:ascii="Times New Roman" w:hAnsi="Times New Roman" w:cs="Times New Roman"/>
          <w:sz w:val="24"/>
          <w:szCs w:val="24"/>
        </w:rPr>
        <w:t xml:space="preserve"> nustatydama edukacijos trukmę 45 – 60 min, </w:t>
      </w:r>
      <w:r w:rsidR="00D047BE" w:rsidRPr="005E0B60">
        <w:rPr>
          <w:rFonts w:ascii="Times New Roman" w:hAnsi="Times New Roman" w:cs="Times New Roman"/>
          <w:sz w:val="24"/>
          <w:szCs w:val="24"/>
        </w:rPr>
        <w:t>atsižvelgė tiek į edukacijose dalyvausiančių mokinių amžių (12-19 metų), kad edukacijos nebūtų per daug ištęstos ir mokiniai išlaikytų dėmesį bei susidomėjimą pristatoma tema, tiek į pirkimo tikslą</w:t>
      </w:r>
      <w:r w:rsidR="00A77214">
        <w:rPr>
          <w:rFonts w:ascii="Times New Roman" w:hAnsi="Times New Roman" w:cs="Times New Roman"/>
          <w:sz w:val="24"/>
          <w:szCs w:val="24"/>
        </w:rPr>
        <w:t xml:space="preserve"> – didinti moksleivių sąmoningumą </w:t>
      </w:r>
      <w:r w:rsidR="00A77214" w:rsidRPr="009D14A5">
        <w:rPr>
          <w:rFonts w:ascii="Times New Roman" w:hAnsi="Times New Roman" w:cs="Times New Roman"/>
          <w:sz w:val="24"/>
          <w:szCs w:val="24"/>
        </w:rPr>
        <w:t>apie maisto švaistymo problemą</w:t>
      </w:r>
      <w:r w:rsidR="00A77214">
        <w:rPr>
          <w:rFonts w:ascii="Times New Roman" w:hAnsi="Times New Roman" w:cs="Times New Roman"/>
          <w:sz w:val="24"/>
          <w:szCs w:val="24"/>
        </w:rPr>
        <w:t xml:space="preserve"> ir s</w:t>
      </w:r>
      <w:r w:rsidR="00D047BE" w:rsidRPr="005E0B60">
        <w:rPr>
          <w:rFonts w:ascii="Times New Roman" w:hAnsi="Times New Roman" w:cs="Times New Roman"/>
          <w:sz w:val="24"/>
          <w:szCs w:val="24"/>
        </w:rPr>
        <w:t>katinti atsakingą maisto vartojimą, suteikiant praktinius įgūdžius ir žinias apie tai, kaip galima kūrybingai panaudoti maisto likučius.</w:t>
      </w:r>
      <w:r w:rsidR="00A77214">
        <w:rPr>
          <w:rFonts w:ascii="Times New Roman" w:hAnsi="Times New Roman" w:cs="Times New Roman"/>
          <w:sz w:val="24"/>
          <w:szCs w:val="24"/>
        </w:rPr>
        <w:t xml:space="preserve"> Atsižvelgiant į auditoriją ir edukacijai planuojamą skirti laiką, tiekėjas turėtų tinkamai sudėlioti temos teorinės ir praktinė dalies akcentus pirkimo tikslui pasiekti. </w:t>
      </w:r>
    </w:p>
    <w:p w14:paraId="2EB169AB" w14:textId="77777777" w:rsidR="00A77214" w:rsidRPr="005E0B60" w:rsidRDefault="00A77214" w:rsidP="005E0B6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76D47E" w14:textId="40F0E8CF" w:rsidR="00C34988" w:rsidRDefault="00DB2AF8" w:rsidP="00C3498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Dėl proceso gilinimo tai pačiai grupei. </w:t>
      </w:r>
      <w:r w:rsidR="00ED45C7">
        <w:rPr>
          <w:rFonts w:ascii="Times New Roman" w:eastAsia="Times New Roman" w:hAnsi="Times New Roman" w:cs="Times New Roman"/>
          <w:sz w:val="24"/>
          <w:szCs w:val="24"/>
        </w:rPr>
        <w:t>Jūsų siūlomas 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vigubas procesas </w:t>
      </w:r>
      <w:r w:rsidR="00ED45C7">
        <w:rPr>
          <w:rFonts w:ascii="Times New Roman" w:eastAsia="Times New Roman" w:hAnsi="Times New Roman" w:cs="Times New Roman"/>
          <w:sz w:val="24"/>
          <w:szCs w:val="24"/>
        </w:rPr>
        <w:t xml:space="preserve">prieštarautų pirkimo tikslui 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45C7">
        <w:rPr>
          <w:rFonts w:ascii="Times New Roman" w:eastAsia="Times New Roman" w:hAnsi="Times New Roman" w:cs="Times New Roman"/>
          <w:sz w:val="24"/>
          <w:szCs w:val="24"/>
        </w:rPr>
        <w:t xml:space="preserve">edukacijomis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pasiekti kuo </w:t>
      </w:r>
      <w:r w:rsidR="00812A06">
        <w:rPr>
          <w:rFonts w:ascii="Times New Roman" w:hAnsi="Times New Roman" w:cs="Times New Roman"/>
          <w:sz w:val="24"/>
          <w:szCs w:val="24"/>
        </w:rPr>
        <w:t xml:space="preserve"> daugiau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0D6A">
        <w:rPr>
          <w:rFonts w:ascii="Times New Roman" w:eastAsia="Times New Roman" w:hAnsi="Times New Roman" w:cs="Times New Roman"/>
          <w:sz w:val="24"/>
          <w:szCs w:val="24"/>
        </w:rPr>
        <w:t>moksleivių</w:t>
      </w:r>
      <w:r w:rsidR="00812A06">
        <w:rPr>
          <w:rFonts w:ascii="Times New Roman" w:eastAsia="Times New Roman" w:hAnsi="Times New Roman" w:cs="Times New Roman"/>
          <w:sz w:val="24"/>
          <w:szCs w:val="24"/>
        </w:rPr>
        <w:t xml:space="preserve"> visoje Lietuvoje</w:t>
      </w:r>
      <w:r w:rsidR="00ED45C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87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8D403A1" w14:textId="7520186D" w:rsidR="00DB2AF8" w:rsidRDefault="00DB2AF8" w:rsidP="00C349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032839" w14:textId="77777777" w:rsidR="003E1722" w:rsidRDefault="003E1722" w:rsidP="00C349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31FA82" w14:textId="4468C094" w:rsidR="003E1722" w:rsidRDefault="003E1722" w:rsidP="00C349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Taip, yra numatyti tarpiniai mokėjimai. Apie tarpinius mokėjimus rašoma 10 priedo sutarties specialiųjų sąlygų 5.5. p.:</w:t>
      </w:r>
    </w:p>
    <w:p w14:paraId="736273F2" w14:textId="218CA6E3" w:rsidR="003E1722" w:rsidRPr="00870D6A" w:rsidRDefault="003E1722" w:rsidP="00C349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Cs w:val="24"/>
          <w:shd w:val="clear" w:color="auto" w:fill="FFFFFF"/>
        </w:rPr>
        <w:t>Pirkėjas</w:t>
      </w:r>
      <w:r w:rsidRPr="007707DD">
        <w:rPr>
          <w:color w:val="000000"/>
          <w:szCs w:val="24"/>
          <w:shd w:val="clear" w:color="auto" w:fill="FFFFFF"/>
        </w:rPr>
        <w:t xml:space="preserve"> už Sutartyje ir jos prieduose nustatyta tvarka už einamąjį mėnesį suteiktas Paslaugas sumoka </w:t>
      </w:r>
      <w:r>
        <w:rPr>
          <w:color w:val="000000"/>
          <w:szCs w:val="24"/>
          <w:shd w:val="clear" w:color="auto" w:fill="FFFFFF"/>
        </w:rPr>
        <w:t xml:space="preserve">Tiekėjui </w:t>
      </w:r>
      <w:r w:rsidRPr="007707DD">
        <w:rPr>
          <w:color w:val="000000"/>
          <w:szCs w:val="24"/>
          <w:shd w:val="clear" w:color="auto" w:fill="FFFFFF"/>
        </w:rPr>
        <w:t xml:space="preserve">pagal Paslaugų įkainius, nurodytus Sutarties priede, </w:t>
      </w:r>
      <w:r>
        <w:rPr>
          <w:color w:val="000000"/>
          <w:szCs w:val="24"/>
          <w:shd w:val="clear" w:color="auto" w:fill="FFFFFF"/>
        </w:rPr>
        <w:t xml:space="preserve">Tiekėjui </w:t>
      </w:r>
      <w:r w:rsidRPr="007707DD">
        <w:rPr>
          <w:color w:val="000000"/>
          <w:szCs w:val="24"/>
          <w:shd w:val="clear" w:color="auto" w:fill="FFFFFF"/>
        </w:rPr>
        <w:t xml:space="preserve">ir </w:t>
      </w:r>
      <w:r>
        <w:rPr>
          <w:color w:val="000000"/>
          <w:szCs w:val="24"/>
          <w:shd w:val="clear" w:color="auto" w:fill="FFFFFF"/>
        </w:rPr>
        <w:t xml:space="preserve">Pirkėjui </w:t>
      </w:r>
      <w:r w:rsidRPr="007707DD">
        <w:rPr>
          <w:color w:val="000000"/>
          <w:szCs w:val="24"/>
          <w:shd w:val="clear" w:color="auto" w:fill="FFFFFF"/>
        </w:rPr>
        <w:t xml:space="preserve">pasirašius Paslaugų perdavimo - priėmimo aktą, ir </w:t>
      </w:r>
      <w:r>
        <w:rPr>
          <w:color w:val="000000"/>
          <w:szCs w:val="24"/>
          <w:shd w:val="clear" w:color="auto" w:fill="FFFFFF"/>
        </w:rPr>
        <w:t xml:space="preserve">Tiekėjui </w:t>
      </w:r>
      <w:r w:rsidRPr="007707DD">
        <w:rPr>
          <w:color w:val="000000"/>
          <w:szCs w:val="24"/>
          <w:shd w:val="clear" w:color="auto" w:fill="FFFFFF"/>
        </w:rPr>
        <w:t>per Sąskaitų administravimo bendrąją informacinę sistemą (SABIS) pateikus PVM sąskaitą faktūrą už suteiktas Paslaugas</w:t>
      </w:r>
      <w:r>
        <w:rPr>
          <w:color w:val="000000"/>
          <w:szCs w:val="24"/>
          <w:shd w:val="clear" w:color="auto" w:fill="FFFFFF"/>
        </w:rPr>
        <w:t xml:space="preserve"> kartu su abiejų šalių pasirašytu paslaugų perdavimo-priėmimo aktu.</w:t>
      </w:r>
    </w:p>
    <w:sectPr w:rsidR="003E1722" w:rsidRPr="00870D6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374800"/>
    <w:multiLevelType w:val="hybridMultilevel"/>
    <w:tmpl w:val="89C4A6AA"/>
    <w:lvl w:ilvl="0" w:tplc="042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6B847BAA"/>
    <w:multiLevelType w:val="hybridMultilevel"/>
    <w:tmpl w:val="7FA8ADC0"/>
    <w:lvl w:ilvl="0" w:tplc="04270001">
      <w:start w:val="1"/>
      <w:numFmt w:val="bullet"/>
      <w:lvlText w:val=""/>
      <w:lvlJc w:val="left"/>
      <w:pPr>
        <w:ind w:left="89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num w:numId="1" w16cid:durableId="650014411">
    <w:abstractNumId w:val="0"/>
  </w:num>
  <w:num w:numId="2" w16cid:durableId="1480879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279"/>
    <w:rsid w:val="001C7061"/>
    <w:rsid w:val="001F17C6"/>
    <w:rsid w:val="00211BF4"/>
    <w:rsid w:val="002576E0"/>
    <w:rsid w:val="003E1722"/>
    <w:rsid w:val="004D110E"/>
    <w:rsid w:val="005E0B60"/>
    <w:rsid w:val="00812A06"/>
    <w:rsid w:val="00870D6A"/>
    <w:rsid w:val="008761EF"/>
    <w:rsid w:val="00A11279"/>
    <w:rsid w:val="00A77214"/>
    <w:rsid w:val="00AF086E"/>
    <w:rsid w:val="00C34988"/>
    <w:rsid w:val="00C67B3C"/>
    <w:rsid w:val="00D047BE"/>
    <w:rsid w:val="00DB2AF8"/>
    <w:rsid w:val="00ED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EA20A"/>
  <w15:chartTrackingRefBased/>
  <w15:docId w15:val="{7F63E296-AB34-43D7-8593-751526B60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112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112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112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112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112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112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112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112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112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112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112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112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1127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1127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1127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1127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1127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1127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112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112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112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112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112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11279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Table of contents numbered,List L1,l"/>
    <w:basedOn w:val="prastasis"/>
    <w:link w:val="SraopastraipaDiagrama"/>
    <w:uiPriority w:val="34"/>
    <w:qFormat/>
    <w:rsid w:val="00A1127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1127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112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1127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11279"/>
    <w:rPr>
      <w:b/>
      <w:bCs/>
      <w:smallCaps/>
      <w:color w:val="0F4761" w:themeColor="accent1" w:themeShade="BF"/>
      <w:spacing w:val="5"/>
    </w:rPr>
  </w:style>
  <w:style w:type="paragraph" w:styleId="Pataisymai">
    <w:name w:val="Revision"/>
    <w:hidden/>
    <w:uiPriority w:val="99"/>
    <w:semiHidden/>
    <w:rsid w:val="00D047BE"/>
    <w:pPr>
      <w:spacing w:after="0" w:line="240" w:lineRule="auto"/>
    </w:p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D047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F7C2F-282E-4DED-A675-764BE8BD5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1932</Words>
  <Characters>1102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Juozas Marčinskas</dc:creator>
  <cp:keywords/>
  <dc:description/>
  <cp:lastModifiedBy>Juozas Marčinskas</cp:lastModifiedBy>
  <cp:revision>4</cp:revision>
  <dcterms:created xsi:type="dcterms:W3CDTF">2025-10-17T06:11:00Z</dcterms:created>
  <dcterms:modified xsi:type="dcterms:W3CDTF">2025-10-21T06:09:00Z</dcterms:modified>
</cp:coreProperties>
</file>