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20445EF1"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w:t>
      </w:r>
      <w:r w:rsidR="00195DEB">
        <w:rPr>
          <w:rStyle w:val="CharStyle7"/>
          <w:rFonts w:eastAsia="MS Gothic"/>
          <w:sz w:val="22"/>
          <w:szCs w:val="22"/>
        </w:rPr>
        <w:t xml:space="preserve">DĖL </w:t>
      </w:r>
      <w:r w:rsidR="00195DEB" w:rsidRPr="00195DEB">
        <w:rPr>
          <w:rStyle w:val="CharStyle7"/>
          <w:rFonts w:eastAsia="MS Gothic"/>
          <w:sz w:val="22"/>
          <w:szCs w:val="22"/>
        </w:rPr>
        <w:t>TECHNINĖ ĮRANG</w:t>
      </w:r>
      <w:r w:rsidR="00195DEB">
        <w:rPr>
          <w:rStyle w:val="CharStyle7"/>
          <w:rFonts w:eastAsia="MS Gothic"/>
          <w:sz w:val="22"/>
          <w:szCs w:val="22"/>
        </w:rPr>
        <w:t>OS</w:t>
      </w:r>
      <w:r w:rsidR="00195DEB" w:rsidRPr="00195DEB">
        <w:rPr>
          <w:rStyle w:val="CharStyle7"/>
          <w:rFonts w:eastAsia="MS Gothic"/>
          <w:sz w:val="22"/>
          <w:szCs w:val="22"/>
        </w:rPr>
        <w:t xml:space="preserve"> BALSO IR VAIZDO DUOMENIMS PERDUOTI  </w:t>
      </w:r>
      <w:r w:rsidR="00732BEB">
        <w:rPr>
          <w:rStyle w:val="CharStyle7"/>
          <w:rFonts w:eastAsia="MS Gothic"/>
          <w:sz w:val="22"/>
          <w:szCs w:val="22"/>
        </w:rPr>
        <w:t xml:space="preserve"> ĮSIGIJIMO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CAD635B"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732BEB">
              <w:rPr>
                <w:rStyle w:val="CharStyle11"/>
                <w:sz w:val="22"/>
                <w:szCs w:val="22"/>
              </w:rPr>
              <w:t>prekės</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2C21C6B0"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DF3E8C">
              <w:rPr>
                <w:rFonts w:ascii="Times New Roman" w:hAnsi="Times New Roman" w:cs="Times New Roman"/>
                <w:sz w:val="22"/>
                <w:szCs w:val="22"/>
              </w:rPr>
              <w:t>+370</w:t>
            </w:r>
            <w:r w:rsidR="00322A55">
              <w:rPr>
                <w:rFonts w:ascii="Times New Roman" w:hAnsi="Times New Roman" w:cs="Times New Roman"/>
                <w:sz w:val="22"/>
                <w:szCs w:val="22"/>
              </w:rPr>
              <w:t xml:space="preserve"> 46 4</w:t>
            </w:r>
            <w:r w:rsidR="00DF3E8C">
              <w:rPr>
                <w:rFonts w:ascii="Times New Roman" w:hAnsi="Times New Roman" w:cs="Times New Roman"/>
                <w:sz w:val="22"/>
                <w:szCs w:val="22"/>
              </w:rPr>
              <w:t>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7A0AE477"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DF3E8C">
              <w:rPr>
                <w:rStyle w:val="CharStyle11"/>
                <w:b/>
                <w:bCs/>
                <w:sz w:val="22"/>
                <w:szCs w:val="22"/>
              </w:rPr>
              <w:t>5</w:t>
            </w:r>
            <w:r w:rsidR="00697E0E">
              <w:rPr>
                <w:rStyle w:val="CharStyle11"/>
                <w:b/>
                <w:bCs/>
                <w:sz w:val="22"/>
                <w:szCs w:val="22"/>
              </w:rPr>
              <w:t xml:space="preserve"> m. </w:t>
            </w:r>
            <w:r w:rsidR="00732BEB">
              <w:rPr>
                <w:rStyle w:val="CharStyle11"/>
                <w:b/>
                <w:bCs/>
                <w:sz w:val="22"/>
                <w:szCs w:val="22"/>
              </w:rPr>
              <w:t xml:space="preserve">spalio           </w:t>
            </w:r>
            <w:r w:rsidR="00B928AE">
              <w:rPr>
                <w:rStyle w:val="CharStyle11"/>
                <w:b/>
                <w:bCs/>
                <w:sz w:val="22"/>
                <w:szCs w:val="22"/>
              </w:rPr>
              <w:t xml:space="preserve"> </w:t>
            </w:r>
            <w:r w:rsidR="00195DEB">
              <w:rPr>
                <w:rStyle w:val="CharStyle11"/>
                <w:b/>
                <w:bCs/>
                <w:sz w:val="22"/>
                <w:szCs w:val="22"/>
              </w:rPr>
              <w:t>2</w:t>
            </w:r>
            <w:r w:rsidR="00DE129D">
              <w:rPr>
                <w:rStyle w:val="CharStyle11"/>
                <w:b/>
                <w:bCs/>
                <w:sz w:val="22"/>
                <w:szCs w:val="22"/>
              </w:rPr>
              <w:t>4</w:t>
            </w:r>
            <w:r w:rsidR="00195DEB">
              <w:rPr>
                <w:rStyle w:val="CharStyle11"/>
                <w:b/>
                <w:bCs/>
                <w:sz w:val="22"/>
                <w:szCs w:val="22"/>
              </w:rPr>
              <w:t xml:space="preserve"> </w:t>
            </w:r>
            <w:r w:rsidR="009C5B3B" w:rsidRPr="00A31D35">
              <w:rPr>
                <w:rStyle w:val="CharStyle11"/>
                <w:b/>
                <w:bCs/>
                <w:sz w:val="22"/>
                <w:szCs w:val="22"/>
              </w:rPr>
              <w:t xml:space="preserve">d. </w:t>
            </w:r>
            <w:r w:rsidR="00732BEB">
              <w:rPr>
                <w:rStyle w:val="CharStyle11"/>
                <w:b/>
                <w:bCs/>
                <w:sz w:val="22"/>
                <w:szCs w:val="22"/>
              </w:rPr>
              <w:t>15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46063EFC" w14:textId="7FAD42F8"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1C2E74">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EF3C" w14:textId="77777777" w:rsidR="00030DF5" w:rsidRDefault="00030DF5">
      <w:r>
        <w:separator/>
      </w:r>
    </w:p>
  </w:endnote>
  <w:endnote w:type="continuationSeparator" w:id="0">
    <w:p w14:paraId="777CC5CC" w14:textId="77777777" w:rsidR="00030DF5" w:rsidRDefault="0003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8709" w14:textId="77777777" w:rsidR="00030DF5" w:rsidRDefault="00030DF5">
      <w:r>
        <w:separator/>
      </w:r>
    </w:p>
  </w:footnote>
  <w:footnote w:type="continuationSeparator" w:id="0">
    <w:p w14:paraId="26ABF486" w14:textId="77777777" w:rsidR="00030DF5" w:rsidRDefault="0003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30DF5"/>
    <w:rsid w:val="00040EA7"/>
    <w:rsid w:val="00072C1B"/>
    <w:rsid w:val="00075422"/>
    <w:rsid w:val="00094DF1"/>
    <w:rsid w:val="000D5E48"/>
    <w:rsid w:val="000E13F9"/>
    <w:rsid w:val="000F5BEE"/>
    <w:rsid w:val="0010565C"/>
    <w:rsid w:val="00195DEB"/>
    <w:rsid w:val="001A70FF"/>
    <w:rsid w:val="001C2E74"/>
    <w:rsid w:val="002859B3"/>
    <w:rsid w:val="00322A55"/>
    <w:rsid w:val="00375F4E"/>
    <w:rsid w:val="003912F9"/>
    <w:rsid w:val="003E6445"/>
    <w:rsid w:val="00473607"/>
    <w:rsid w:val="004C6023"/>
    <w:rsid w:val="00503F20"/>
    <w:rsid w:val="0054756B"/>
    <w:rsid w:val="005914A3"/>
    <w:rsid w:val="005B7E03"/>
    <w:rsid w:val="006319FB"/>
    <w:rsid w:val="00663BA6"/>
    <w:rsid w:val="00697E0E"/>
    <w:rsid w:val="006A20E1"/>
    <w:rsid w:val="006C3CCE"/>
    <w:rsid w:val="006D0C6F"/>
    <w:rsid w:val="006E070B"/>
    <w:rsid w:val="006F2287"/>
    <w:rsid w:val="00732BEB"/>
    <w:rsid w:val="0076572E"/>
    <w:rsid w:val="007833DB"/>
    <w:rsid w:val="008066DB"/>
    <w:rsid w:val="0083106F"/>
    <w:rsid w:val="008409CF"/>
    <w:rsid w:val="008F2821"/>
    <w:rsid w:val="008F7D36"/>
    <w:rsid w:val="009269FD"/>
    <w:rsid w:val="00986E0D"/>
    <w:rsid w:val="00987CD3"/>
    <w:rsid w:val="00997092"/>
    <w:rsid w:val="009A4604"/>
    <w:rsid w:val="009C5B3B"/>
    <w:rsid w:val="009F7D1D"/>
    <w:rsid w:val="00A1518A"/>
    <w:rsid w:val="00A207F1"/>
    <w:rsid w:val="00A31D35"/>
    <w:rsid w:val="00A634A5"/>
    <w:rsid w:val="00A81660"/>
    <w:rsid w:val="00AB3C98"/>
    <w:rsid w:val="00AE3999"/>
    <w:rsid w:val="00B26DD8"/>
    <w:rsid w:val="00B46E60"/>
    <w:rsid w:val="00B75007"/>
    <w:rsid w:val="00B87858"/>
    <w:rsid w:val="00B928AE"/>
    <w:rsid w:val="00BB4D42"/>
    <w:rsid w:val="00C01915"/>
    <w:rsid w:val="00C0792F"/>
    <w:rsid w:val="00C63B65"/>
    <w:rsid w:val="00CB1453"/>
    <w:rsid w:val="00CB282D"/>
    <w:rsid w:val="00CD2BD4"/>
    <w:rsid w:val="00DB5C67"/>
    <w:rsid w:val="00DE129D"/>
    <w:rsid w:val="00DF3E8C"/>
    <w:rsid w:val="00E117C2"/>
    <w:rsid w:val="00E142A0"/>
    <w:rsid w:val="00F01ABE"/>
    <w:rsid w:val="00F153C6"/>
    <w:rsid w:val="00F5394D"/>
    <w:rsid w:val="00F64DC1"/>
    <w:rsid w:val="00FE7478"/>
    <w:rsid w:val="00FF71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2900</Words>
  <Characters>1654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20</cp:revision>
  <dcterms:created xsi:type="dcterms:W3CDTF">2023-01-20T08:18:00Z</dcterms:created>
  <dcterms:modified xsi:type="dcterms:W3CDTF">2025-10-21T11:54:00Z</dcterms:modified>
  <dc:language>lt-LT</dc:language>
</cp:coreProperties>
</file>