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16380" w14:textId="616CB420" w:rsidR="00890E44" w:rsidRPr="00C53A1B" w:rsidRDefault="00803236" w:rsidP="00890E44">
      <w:pPr>
        <w:jc w:val="center"/>
        <w:rPr>
          <w:rFonts w:ascii="Arial" w:hAnsi="Arial" w:cs="Arial"/>
          <w:b/>
          <w:bCs/>
          <w:noProof/>
          <w:sz w:val="20"/>
          <w:szCs w:val="20"/>
        </w:rPr>
      </w:pPr>
      <w:r w:rsidRPr="00C53A1B">
        <w:rPr>
          <w:rFonts w:ascii="Arial" w:hAnsi="Arial" w:cs="Arial"/>
          <w:b/>
          <w:bCs/>
          <w:noProof/>
          <w:sz w:val="20"/>
          <w:szCs w:val="20"/>
        </w:rPr>
        <w:t xml:space="preserve">RANGOS </w:t>
      </w:r>
      <w:r w:rsidR="00266E40" w:rsidRPr="00C53A1B">
        <w:rPr>
          <w:rFonts w:ascii="Arial" w:hAnsi="Arial" w:cs="Arial"/>
          <w:b/>
          <w:bCs/>
          <w:noProof/>
          <w:sz w:val="20"/>
          <w:szCs w:val="20"/>
        </w:rPr>
        <w:t xml:space="preserve">DARBŲ </w:t>
      </w:r>
      <w:r w:rsidRPr="00C53A1B">
        <w:rPr>
          <w:rFonts w:ascii="Arial" w:hAnsi="Arial" w:cs="Arial"/>
          <w:b/>
          <w:bCs/>
          <w:noProof/>
          <w:sz w:val="20"/>
          <w:szCs w:val="20"/>
        </w:rPr>
        <w:t>BE PROJEKTAVIMO</w:t>
      </w:r>
    </w:p>
    <w:p w14:paraId="3AA4DF5D" w14:textId="73792B31" w:rsidR="006E05C8" w:rsidRPr="00C53A1B" w:rsidRDefault="006E05C8" w:rsidP="00375C7D">
      <w:pPr>
        <w:jc w:val="center"/>
        <w:rPr>
          <w:rFonts w:ascii="Arial" w:hAnsi="Arial" w:cs="Arial"/>
          <w:b/>
          <w:bCs/>
          <w:noProof/>
          <w:sz w:val="20"/>
          <w:szCs w:val="20"/>
        </w:rPr>
      </w:pPr>
      <w:r w:rsidRPr="00C53A1B">
        <w:rPr>
          <w:rFonts w:ascii="Arial" w:hAnsi="Arial" w:cs="Arial"/>
          <w:b/>
          <w:bCs/>
          <w:noProof/>
          <w:sz w:val="20"/>
          <w:szCs w:val="20"/>
        </w:rPr>
        <w:t xml:space="preserve">PIRKIMO – PARDAVIMO SUTARTIS Nr. </w:t>
      </w:r>
      <w:r w:rsidR="00456ED6" w:rsidRPr="00C53A1B">
        <w:rPr>
          <w:rFonts w:ascii="Arial" w:hAnsi="Arial" w:cs="Arial"/>
          <w:i/>
          <w:iCs/>
          <w:noProof/>
          <w:sz w:val="20"/>
          <w:szCs w:val="20"/>
        </w:rPr>
        <w:t>____</w:t>
      </w:r>
    </w:p>
    <w:p w14:paraId="6AA24301" w14:textId="77777777"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 xml:space="preserve">20__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43C9A154" w:rsidR="00860F4B" w:rsidRPr="00C53A1B" w:rsidRDefault="007D7BC2" w:rsidP="00890E44">
      <w:pPr>
        <w:spacing w:after="120"/>
        <w:ind w:left="142" w:right="193"/>
        <w:jc w:val="both"/>
        <w:rPr>
          <w:rFonts w:ascii="Arial" w:hAnsi="Arial" w:cs="Arial"/>
          <w:sz w:val="20"/>
          <w:szCs w:val="20"/>
        </w:rPr>
      </w:pPr>
      <w:r w:rsidRPr="00C53A1B">
        <w:rPr>
          <w:rFonts w:ascii="Arial" w:hAnsi="Arial" w:cs="Arial"/>
          <w:sz w:val="20"/>
          <w:szCs w:val="20"/>
        </w:rPr>
        <w:t xml:space="preserve">Ši </w:t>
      </w:r>
      <w:r w:rsidR="00803236" w:rsidRPr="00C53A1B">
        <w:rPr>
          <w:rFonts w:ascii="Arial" w:hAnsi="Arial" w:cs="Arial"/>
          <w:sz w:val="20"/>
          <w:szCs w:val="20"/>
        </w:rPr>
        <w:t xml:space="preserve">rangos </w:t>
      </w:r>
      <w:r w:rsidR="00BC0E15" w:rsidRPr="00C53A1B">
        <w:rPr>
          <w:rFonts w:ascii="Arial" w:hAnsi="Arial" w:cs="Arial"/>
          <w:sz w:val="20"/>
          <w:szCs w:val="20"/>
        </w:rPr>
        <w:t>darbų</w:t>
      </w:r>
      <w:r w:rsidR="00803236" w:rsidRPr="00C53A1B">
        <w:rPr>
          <w:rFonts w:ascii="Arial" w:hAnsi="Arial" w:cs="Arial"/>
          <w:sz w:val="20"/>
          <w:szCs w:val="20"/>
        </w:rPr>
        <w:t xml:space="preserve"> be projektavimo</w:t>
      </w:r>
      <w:r w:rsidR="00BC0E15" w:rsidRPr="00C53A1B">
        <w:rPr>
          <w:rFonts w:ascii="Arial" w:hAnsi="Arial" w:cs="Arial"/>
          <w:sz w:val="20"/>
          <w:szCs w:val="20"/>
        </w:rPr>
        <w:t xml:space="preserve"> </w:t>
      </w:r>
      <w:r w:rsidR="00375C7D">
        <w:rPr>
          <w:rFonts w:ascii="Arial" w:hAnsi="Arial" w:cs="Arial"/>
          <w:sz w:val="20"/>
          <w:szCs w:val="20"/>
        </w:rPr>
        <w:t>p</w:t>
      </w:r>
      <w:r w:rsidRPr="00C53A1B">
        <w:rPr>
          <w:rFonts w:ascii="Arial" w:hAnsi="Arial" w:cs="Arial"/>
          <w:sz w:val="20"/>
          <w:szCs w:val="20"/>
        </w:rPr>
        <w:t xml:space="preserve">irkimo – pardavimo sutartis (toliau – Sutartis) vykdoma pagal šios Sutarties specialiojoje dalyje ir </w:t>
      </w:r>
      <w:r w:rsidR="00F75DD9" w:rsidRPr="00C53A1B">
        <w:rPr>
          <w:rFonts w:ascii="Arial" w:hAnsi="Arial" w:cs="Arial"/>
          <w:sz w:val="20"/>
          <w:szCs w:val="20"/>
        </w:rPr>
        <w:t xml:space="preserve">rangos darbų be projektavimo </w:t>
      </w:r>
      <w:r w:rsidR="00375C7D">
        <w:rPr>
          <w:rFonts w:ascii="Arial" w:hAnsi="Arial" w:cs="Arial"/>
          <w:sz w:val="20"/>
          <w:szCs w:val="20"/>
        </w:rPr>
        <w:t>p</w:t>
      </w:r>
      <w:r w:rsidRPr="00C53A1B">
        <w:rPr>
          <w:rFonts w:ascii="Arial" w:hAnsi="Arial" w:cs="Arial"/>
          <w:sz w:val="20"/>
          <w:szCs w:val="20"/>
        </w:rPr>
        <w:t>irkimo – pardavimo sutarties bendrojoje dalyje numatytas sąlygas.</w:t>
      </w:r>
      <w:r w:rsidR="00C27162" w:rsidRPr="00C53A1B">
        <w:rPr>
          <w:rFonts w:ascii="Arial" w:hAnsi="Arial" w:cs="Arial"/>
          <w:sz w:val="20"/>
          <w:szCs w:val="20"/>
        </w:rPr>
        <w:t xml:space="preserve"> Sutarties </w:t>
      </w:r>
      <w:r w:rsidR="00CC3A8F" w:rsidRPr="00C53A1B">
        <w:rPr>
          <w:rFonts w:ascii="Arial" w:hAnsi="Arial" w:cs="Arial"/>
          <w:sz w:val="20"/>
          <w:szCs w:val="20"/>
        </w:rPr>
        <w:t>s</w:t>
      </w:r>
      <w:r w:rsidR="00C27162" w:rsidRPr="00C53A1B">
        <w:rPr>
          <w:rFonts w:ascii="Arial" w:hAnsi="Arial" w:cs="Arial"/>
          <w:sz w:val="20"/>
          <w:szCs w:val="20"/>
        </w:rPr>
        <w:t>pecialio</w:t>
      </w:r>
      <w:r w:rsidR="00860F4B" w:rsidRPr="00C53A1B">
        <w:rPr>
          <w:rFonts w:ascii="Arial" w:hAnsi="Arial" w:cs="Arial"/>
          <w:sz w:val="20"/>
          <w:szCs w:val="20"/>
        </w:rPr>
        <w:t xml:space="preserve">sios dalies sąlygos turi būti aiškinamos ir taikomos kartu su Sutarties </w:t>
      </w:r>
      <w:r w:rsidR="00CC3A8F" w:rsidRPr="00C53A1B">
        <w:rPr>
          <w:rFonts w:ascii="Arial" w:hAnsi="Arial" w:cs="Arial"/>
          <w:sz w:val="20"/>
          <w:szCs w:val="20"/>
        </w:rPr>
        <w:t>b</w:t>
      </w:r>
      <w:r w:rsidR="00C27162" w:rsidRPr="00C53A1B">
        <w:rPr>
          <w:rFonts w:ascii="Arial" w:hAnsi="Arial" w:cs="Arial"/>
          <w:sz w:val="20"/>
          <w:szCs w:val="20"/>
        </w:rPr>
        <w:t>endro</w:t>
      </w:r>
      <w:r w:rsidR="00860F4B" w:rsidRPr="00C53A1B">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Lentelstinklelis"/>
        <w:tblW w:w="10627" w:type="dxa"/>
        <w:jc w:val="center"/>
        <w:tblLayout w:type="fixed"/>
        <w:tblLook w:val="04A0" w:firstRow="1" w:lastRow="0" w:firstColumn="1" w:lastColumn="0" w:noHBand="0" w:noVBand="1"/>
      </w:tblPr>
      <w:tblGrid>
        <w:gridCol w:w="3397"/>
        <w:gridCol w:w="3119"/>
        <w:gridCol w:w="850"/>
        <w:gridCol w:w="3261"/>
      </w:tblGrid>
      <w:tr w:rsidR="003B429D" w:rsidRPr="00C53A1B" w14:paraId="2F109FF6" w14:textId="77777777" w:rsidTr="00E950D4">
        <w:trPr>
          <w:jc w:val="center"/>
        </w:trPr>
        <w:tc>
          <w:tcPr>
            <w:tcW w:w="3397"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3119"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11" w:type="dxa"/>
            <w:gridSpan w:val="2"/>
          </w:tcPr>
          <w:p w14:paraId="10BFF46C" w14:textId="6B448FB7" w:rsidR="00652B59" w:rsidRPr="00C53A1B" w:rsidRDefault="00652B59" w:rsidP="00F578BC">
            <w:pPr>
              <w:rPr>
                <w:rFonts w:ascii="Arial" w:hAnsi="Arial" w:cs="Arial"/>
                <w:bCs/>
                <w:caps/>
                <w:sz w:val="20"/>
                <w:szCs w:val="20"/>
              </w:rPr>
            </w:pPr>
            <w:r w:rsidRPr="00C53A1B">
              <w:rPr>
                <w:rFonts w:ascii="Arial" w:hAnsi="Arial" w:cs="Arial"/>
                <w:bCs/>
                <w:caps/>
                <w:sz w:val="20"/>
                <w:szCs w:val="20"/>
              </w:rPr>
              <w:t>ab „</w:t>
            </w:r>
            <w:r w:rsidR="009F0CBE" w:rsidRPr="00C53A1B">
              <w:rPr>
                <w:rFonts w:ascii="Arial" w:hAnsi="Arial" w:cs="Arial"/>
                <w:bCs/>
                <w:caps/>
                <w:sz w:val="20"/>
                <w:szCs w:val="20"/>
              </w:rPr>
              <w:t>K</w:t>
            </w:r>
            <w:r w:rsidR="009F0CBE" w:rsidRPr="00C53A1B">
              <w:rPr>
                <w:rFonts w:ascii="Arial" w:hAnsi="Arial" w:cs="Arial"/>
                <w:bCs/>
                <w:sz w:val="20"/>
                <w:szCs w:val="20"/>
              </w:rPr>
              <w:t>auno energija</w:t>
            </w:r>
            <w:r w:rsidRPr="00C53A1B">
              <w:rPr>
                <w:rFonts w:ascii="Arial" w:hAnsi="Arial" w:cs="Arial"/>
                <w:bCs/>
                <w:caps/>
                <w:sz w:val="20"/>
                <w:szCs w:val="20"/>
              </w:rPr>
              <w:t>“</w:t>
            </w:r>
          </w:p>
        </w:tc>
      </w:tr>
      <w:tr w:rsidR="003B429D" w:rsidRPr="00C53A1B" w14:paraId="2A12E334" w14:textId="77777777" w:rsidTr="00E950D4">
        <w:trPr>
          <w:jc w:val="center"/>
        </w:trPr>
        <w:tc>
          <w:tcPr>
            <w:tcW w:w="3397" w:type="dxa"/>
            <w:vMerge/>
          </w:tcPr>
          <w:p w14:paraId="6E69DF46" w14:textId="30AB3CCF" w:rsidR="00652B59" w:rsidRPr="00C53A1B" w:rsidRDefault="00652B59" w:rsidP="00F578BC">
            <w:pPr>
              <w:jc w:val="right"/>
              <w:rPr>
                <w:rFonts w:ascii="Arial" w:hAnsi="Arial" w:cs="Arial"/>
                <w:b/>
                <w:caps/>
                <w:sz w:val="20"/>
                <w:szCs w:val="20"/>
              </w:rPr>
            </w:pPr>
          </w:p>
        </w:tc>
        <w:tc>
          <w:tcPr>
            <w:tcW w:w="3119"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4111" w:type="dxa"/>
            <w:gridSpan w:val="2"/>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00E950D4">
        <w:trPr>
          <w:jc w:val="center"/>
        </w:trPr>
        <w:tc>
          <w:tcPr>
            <w:tcW w:w="3397" w:type="dxa"/>
            <w:vMerge/>
          </w:tcPr>
          <w:p w14:paraId="31A31AFB" w14:textId="77777777" w:rsidR="00652B59" w:rsidRPr="00C53A1B" w:rsidRDefault="00652B59" w:rsidP="00F578BC">
            <w:pPr>
              <w:jc w:val="right"/>
              <w:rPr>
                <w:rFonts w:ascii="Arial" w:hAnsi="Arial" w:cs="Arial"/>
                <w:b/>
                <w:caps/>
                <w:sz w:val="20"/>
                <w:szCs w:val="20"/>
              </w:rPr>
            </w:pPr>
          </w:p>
        </w:tc>
        <w:tc>
          <w:tcPr>
            <w:tcW w:w="3119"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4111" w:type="dxa"/>
            <w:gridSpan w:val="2"/>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00E950D4">
        <w:trPr>
          <w:jc w:val="center"/>
        </w:trPr>
        <w:tc>
          <w:tcPr>
            <w:tcW w:w="3397" w:type="dxa"/>
            <w:vMerge/>
          </w:tcPr>
          <w:p w14:paraId="3CCF2CB1" w14:textId="77777777" w:rsidR="00652B59" w:rsidRPr="00C53A1B" w:rsidRDefault="00652B59" w:rsidP="00F578BC">
            <w:pPr>
              <w:jc w:val="right"/>
              <w:rPr>
                <w:rFonts w:ascii="Arial" w:hAnsi="Arial" w:cs="Arial"/>
                <w:b/>
                <w:caps/>
                <w:sz w:val="20"/>
                <w:szCs w:val="20"/>
              </w:rPr>
            </w:pPr>
          </w:p>
        </w:tc>
        <w:tc>
          <w:tcPr>
            <w:tcW w:w="3119"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11" w:type="dxa"/>
            <w:gridSpan w:val="2"/>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00E950D4">
        <w:trPr>
          <w:jc w:val="center"/>
        </w:trPr>
        <w:tc>
          <w:tcPr>
            <w:tcW w:w="3397" w:type="dxa"/>
            <w:vMerge/>
          </w:tcPr>
          <w:p w14:paraId="76B8AAA9" w14:textId="77777777" w:rsidR="00652B59" w:rsidRPr="00C53A1B" w:rsidRDefault="00652B59" w:rsidP="00F578BC">
            <w:pPr>
              <w:jc w:val="right"/>
              <w:rPr>
                <w:rFonts w:ascii="Arial" w:hAnsi="Arial" w:cs="Arial"/>
                <w:b/>
                <w:caps/>
                <w:sz w:val="20"/>
                <w:szCs w:val="20"/>
              </w:rPr>
            </w:pPr>
          </w:p>
        </w:tc>
        <w:tc>
          <w:tcPr>
            <w:tcW w:w="3119"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4111" w:type="dxa"/>
            <w:gridSpan w:val="2"/>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00E950D4">
        <w:trPr>
          <w:jc w:val="center"/>
        </w:trPr>
        <w:tc>
          <w:tcPr>
            <w:tcW w:w="3397" w:type="dxa"/>
            <w:vMerge/>
          </w:tcPr>
          <w:p w14:paraId="629AED08" w14:textId="77777777" w:rsidR="00652B59" w:rsidRPr="00C53A1B" w:rsidRDefault="00652B59" w:rsidP="00F578BC">
            <w:pPr>
              <w:jc w:val="right"/>
              <w:rPr>
                <w:rFonts w:ascii="Arial" w:hAnsi="Arial" w:cs="Arial"/>
                <w:b/>
                <w:caps/>
                <w:sz w:val="20"/>
                <w:szCs w:val="20"/>
              </w:rPr>
            </w:pPr>
          </w:p>
        </w:tc>
        <w:tc>
          <w:tcPr>
            <w:tcW w:w="3119"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11" w:type="dxa"/>
            <w:gridSpan w:val="2"/>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00E950D4">
        <w:trPr>
          <w:jc w:val="center"/>
        </w:trPr>
        <w:tc>
          <w:tcPr>
            <w:tcW w:w="3397" w:type="dxa"/>
            <w:vMerge/>
          </w:tcPr>
          <w:p w14:paraId="28A02BF7" w14:textId="77777777" w:rsidR="00652B59" w:rsidRPr="00C53A1B" w:rsidRDefault="00652B59" w:rsidP="00F578BC">
            <w:pPr>
              <w:jc w:val="right"/>
              <w:rPr>
                <w:rFonts w:ascii="Arial" w:hAnsi="Arial" w:cs="Arial"/>
                <w:b/>
                <w:caps/>
                <w:sz w:val="20"/>
                <w:szCs w:val="20"/>
              </w:rPr>
            </w:pPr>
          </w:p>
        </w:tc>
        <w:tc>
          <w:tcPr>
            <w:tcW w:w="3119"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11" w:type="dxa"/>
            <w:gridSpan w:val="2"/>
          </w:tcPr>
          <w:p w14:paraId="7943D5E7" w14:textId="0D572EF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 xml:space="preserve">Tel. Nr. (8 </w:t>
            </w:r>
            <w:r w:rsidR="0082553B">
              <w:rPr>
                <w:rFonts w:ascii="Arial" w:hAnsi="Arial" w:cs="Arial"/>
                <w:bCs/>
                <w:noProof/>
                <w:sz w:val="20"/>
                <w:szCs w:val="20"/>
              </w:rPr>
              <w:t>800</w:t>
            </w:r>
            <w:r w:rsidRPr="00C53A1B">
              <w:rPr>
                <w:rFonts w:ascii="Arial" w:hAnsi="Arial" w:cs="Arial"/>
                <w:bCs/>
                <w:noProof/>
                <w:sz w:val="20"/>
                <w:szCs w:val="20"/>
              </w:rPr>
              <w:t xml:space="preserve"> )</w:t>
            </w:r>
            <w:r w:rsidR="0082553B">
              <w:rPr>
                <w:rFonts w:ascii="Arial" w:hAnsi="Arial" w:cs="Arial"/>
                <w:bCs/>
                <w:noProof/>
                <w:sz w:val="20"/>
                <w:szCs w:val="20"/>
              </w:rPr>
              <w:t xml:space="preserve"> 11 011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ipersaitas"/>
                  <w:rFonts w:ascii="Arial" w:hAnsi="Arial" w:cs="Arial"/>
                  <w:bCs/>
                  <w:noProof/>
                  <w:color w:val="auto"/>
                  <w:sz w:val="20"/>
                  <w:szCs w:val="20"/>
                </w:rPr>
                <w:t>info</w:t>
              </w:r>
              <w:r w:rsidRPr="00C53A1B">
                <w:rPr>
                  <w:rStyle w:val="Hipersaitas"/>
                  <w:rFonts w:ascii="Arial" w:hAnsi="Arial" w:cs="Arial"/>
                  <w:bCs/>
                  <w:noProof/>
                  <w:color w:val="auto"/>
                  <w:sz w:val="20"/>
                  <w:szCs w:val="20"/>
                  <w:lang w:val="en-US"/>
                </w:rPr>
                <w:t>@kaunoenergija.lt</w:t>
              </w:r>
            </w:hyperlink>
          </w:p>
        </w:tc>
      </w:tr>
      <w:tr w:rsidR="003B429D" w:rsidRPr="00C53A1B" w14:paraId="37357ECC" w14:textId="77777777" w:rsidTr="00E950D4">
        <w:trPr>
          <w:jc w:val="center"/>
        </w:trPr>
        <w:tc>
          <w:tcPr>
            <w:tcW w:w="3397"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3119"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11" w:type="dxa"/>
            <w:gridSpan w:val="2"/>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00E950D4">
        <w:trPr>
          <w:jc w:val="center"/>
        </w:trPr>
        <w:tc>
          <w:tcPr>
            <w:tcW w:w="3397" w:type="dxa"/>
            <w:vMerge/>
          </w:tcPr>
          <w:p w14:paraId="1A4E2A88" w14:textId="77777777" w:rsidR="00652B59" w:rsidRPr="00C53A1B" w:rsidRDefault="00652B59" w:rsidP="00F578BC">
            <w:pPr>
              <w:jc w:val="right"/>
              <w:rPr>
                <w:rFonts w:ascii="Arial" w:hAnsi="Arial" w:cs="Arial"/>
                <w:bCs/>
                <w:caps/>
                <w:sz w:val="20"/>
                <w:szCs w:val="20"/>
              </w:rPr>
            </w:pPr>
          </w:p>
        </w:tc>
        <w:tc>
          <w:tcPr>
            <w:tcW w:w="3119"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4111" w:type="dxa"/>
            <w:gridSpan w:val="2"/>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00E950D4">
        <w:trPr>
          <w:jc w:val="center"/>
        </w:trPr>
        <w:tc>
          <w:tcPr>
            <w:tcW w:w="3397" w:type="dxa"/>
            <w:vMerge/>
          </w:tcPr>
          <w:p w14:paraId="7FF0918D" w14:textId="77777777" w:rsidR="00652B59" w:rsidRPr="00C53A1B" w:rsidRDefault="00652B59" w:rsidP="00F578BC">
            <w:pPr>
              <w:jc w:val="right"/>
              <w:rPr>
                <w:rFonts w:ascii="Arial" w:hAnsi="Arial" w:cs="Arial"/>
                <w:bCs/>
                <w:caps/>
                <w:sz w:val="20"/>
                <w:szCs w:val="20"/>
              </w:rPr>
            </w:pPr>
          </w:p>
        </w:tc>
        <w:tc>
          <w:tcPr>
            <w:tcW w:w="3119"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4111" w:type="dxa"/>
            <w:gridSpan w:val="2"/>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00E950D4">
        <w:trPr>
          <w:jc w:val="center"/>
        </w:trPr>
        <w:tc>
          <w:tcPr>
            <w:tcW w:w="3397" w:type="dxa"/>
            <w:vMerge/>
          </w:tcPr>
          <w:p w14:paraId="4031C228" w14:textId="77777777" w:rsidR="00652B59" w:rsidRPr="00C53A1B" w:rsidRDefault="00652B59" w:rsidP="00F578BC">
            <w:pPr>
              <w:jc w:val="right"/>
              <w:rPr>
                <w:rFonts w:ascii="Arial" w:hAnsi="Arial" w:cs="Arial"/>
                <w:bCs/>
                <w:caps/>
                <w:sz w:val="20"/>
                <w:szCs w:val="20"/>
              </w:rPr>
            </w:pPr>
          </w:p>
        </w:tc>
        <w:tc>
          <w:tcPr>
            <w:tcW w:w="3119"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11" w:type="dxa"/>
            <w:gridSpan w:val="2"/>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00E950D4">
        <w:trPr>
          <w:jc w:val="center"/>
        </w:trPr>
        <w:tc>
          <w:tcPr>
            <w:tcW w:w="3397" w:type="dxa"/>
            <w:vMerge/>
          </w:tcPr>
          <w:p w14:paraId="5E79F027" w14:textId="77777777" w:rsidR="00652B59" w:rsidRPr="00C53A1B" w:rsidRDefault="00652B59" w:rsidP="00F578BC">
            <w:pPr>
              <w:jc w:val="right"/>
              <w:rPr>
                <w:rFonts w:ascii="Arial" w:hAnsi="Arial" w:cs="Arial"/>
                <w:bCs/>
                <w:caps/>
                <w:sz w:val="20"/>
                <w:szCs w:val="20"/>
              </w:rPr>
            </w:pPr>
          </w:p>
        </w:tc>
        <w:tc>
          <w:tcPr>
            <w:tcW w:w="3119"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4111" w:type="dxa"/>
            <w:gridSpan w:val="2"/>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00E950D4">
        <w:trPr>
          <w:jc w:val="center"/>
        </w:trPr>
        <w:tc>
          <w:tcPr>
            <w:tcW w:w="3397" w:type="dxa"/>
            <w:vMerge/>
          </w:tcPr>
          <w:p w14:paraId="580DA25C" w14:textId="77777777" w:rsidR="00652B59" w:rsidRPr="00C53A1B" w:rsidRDefault="00652B59" w:rsidP="00F578BC">
            <w:pPr>
              <w:jc w:val="right"/>
              <w:rPr>
                <w:rFonts w:ascii="Arial" w:hAnsi="Arial" w:cs="Arial"/>
                <w:bCs/>
                <w:caps/>
                <w:sz w:val="20"/>
                <w:szCs w:val="20"/>
              </w:rPr>
            </w:pPr>
          </w:p>
        </w:tc>
        <w:tc>
          <w:tcPr>
            <w:tcW w:w="3119"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11" w:type="dxa"/>
            <w:gridSpan w:val="2"/>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00E950D4">
        <w:trPr>
          <w:jc w:val="center"/>
        </w:trPr>
        <w:tc>
          <w:tcPr>
            <w:tcW w:w="3397" w:type="dxa"/>
            <w:vMerge/>
          </w:tcPr>
          <w:p w14:paraId="46A9D226" w14:textId="77777777" w:rsidR="00652B59" w:rsidRPr="00C53A1B" w:rsidRDefault="00652B59" w:rsidP="00F578BC">
            <w:pPr>
              <w:jc w:val="right"/>
              <w:rPr>
                <w:rFonts w:ascii="Arial" w:hAnsi="Arial" w:cs="Arial"/>
                <w:bCs/>
                <w:caps/>
                <w:sz w:val="20"/>
                <w:szCs w:val="20"/>
              </w:rPr>
            </w:pPr>
          </w:p>
        </w:tc>
        <w:tc>
          <w:tcPr>
            <w:tcW w:w="3119"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11" w:type="dxa"/>
            <w:gridSpan w:val="2"/>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00973B32" w:rsidRPr="00C53A1B" w14:paraId="64C7A541" w14:textId="77777777" w:rsidTr="00E950D4">
        <w:trPr>
          <w:cantSplit/>
          <w:trHeight w:val="170"/>
          <w:jc w:val="center"/>
        </w:trPr>
        <w:tc>
          <w:tcPr>
            <w:tcW w:w="3397" w:type="dxa"/>
            <w:vAlign w:val="center"/>
          </w:tcPr>
          <w:p w14:paraId="293AA8C8" w14:textId="77777777" w:rsidR="008A5490" w:rsidRPr="00C53A1B" w:rsidRDefault="008A5490" w:rsidP="008A5490">
            <w:pPr>
              <w:pStyle w:val="Sraopastraipa"/>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Sraopastraipa"/>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7230" w:type="dxa"/>
            <w:gridSpan w:val="3"/>
            <w:vAlign w:val="center"/>
          </w:tcPr>
          <w:p w14:paraId="18FAB392" w14:textId="7794EAA1" w:rsidR="008A5490" w:rsidRPr="00C53A1B" w:rsidRDefault="00784C1D" w:rsidP="00784C1D">
            <w:pPr>
              <w:jc w:val="both"/>
              <w:rPr>
                <w:rFonts w:ascii="Arial" w:hAnsi="Arial" w:cs="Arial"/>
                <w:bCs/>
                <w:noProof/>
                <w:sz w:val="20"/>
                <w:szCs w:val="20"/>
              </w:rPr>
            </w:pPr>
            <w:r w:rsidRPr="00850A56">
              <w:rPr>
                <w:rFonts w:ascii="Arial" w:hAnsi="Arial" w:cs="Arial"/>
                <w:bCs/>
                <w:noProof/>
                <w:sz w:val="20"/>
                <w:szCs w:val="20"/>
              </w:rPr>
              <w:t>Technologinių vamzdynų, įrenginių, metalo konstrukcijų ir kt. demontavimo darbai Petrašiūnų elektrinėje, siekiant paruošti vietą druskos tirpalo paruošimo įrangai</w:t>
            </w:r>
            <w:r>
              <w:rPr>
                <w:rFonts w:ascii="Arial" w:hAnsi="Arial" w:cs="Arial"/>
                <w:bCs/>
                <w:noProof/>
                <w:sz w:val="20"/>
                <w:szCs w:val="20"/>
              </w:rPr>
              <w:t>.</w:t>
            </w:r>
          </w:p>
        </w:tc>
      </w:tr>
      <w:tr w:rsidR="00973B32" w:rsidRPr="00C53A1B" w14:paraId="1AF5A545" w14:textId="77777777" w:rsidTr="00E950D4">
        <w:trPr>
          <w:jc w:val="center"/>
        </w:trPr>
        <w:tc>
          <w:tcPr>
            <w:tcW w:w="3397" w:type="dxa"/>
            <w:vAlign w:val="center"/>
          </w:tcPr>
          <w:p w14:paraId="653B328A" w14:textId="52414B1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7230" w:type="dxa"/>
            <w:gridSpan w:val="3"/>
          </w:tcPr>
          <w:p w14:paraId="72073E80" w14:textId="69A56E75" w:rsidR="008A5490" w:rsidRPr="00C53A1B" w:rsidRDefault="00824378" w:rsidP="00824378">
            <w:pPr>
              <w:tabs>
                <w:tab w:val="left" w:pos="1260"/>
              </w:tabs>
              <w:jc w:val="both"/>
              <w:rPr>
                <w:rFonts w:ascii="Arial" w:hAnsi="Arial" w:cs="Arial"/>
                <w:bCs/>
                <w:noProof/>
                <w:sz w:val="20"/>
                <w:szCs w:val="20"/>
              </w:rPr>
            </w:pPr>
            <w:r w:rsidRPr="00824378">
              <w:rPr>
                <w:rFonts w:ascii="Arial" w:hAnsi="Arial" w:cs="Arial"/>
                <w:bCs/>
                <w:noProof/>
                <w:sz w:val="20"/>
                <w:szCs w:val="20"/>
              </w:rPr>
              <w:t>Sutartis įsigalioja abiems šalims pasirašius sutartį ir Rangovui pateikus Užtikrinimą. Įsigaliojimo data yra laikoma diena, kai Sutartį pasirašo paskutinioji Šalis</w:t>
            </w:r>
            <w:r>
              <w:rPr>
                <w:rFonts w:ascii="Arial" w:hAnsi="Arial" w:cs="Arial"/>
                <w:bCs/>
                <w:noProof/>
                <w:sz w:val="20"/>
                <w:szCs w:val="20"/>
              </w:rPr>
              <w:t xml:space="preserve">. </w:t>
            </w:r>
          </w:p>
        </w:tc>
      </w:tr>
      <w:tr w:rsidR="00973B32" w:rsidRPr="00C53A1B" w14:paraId="7BB1B932" w14:textId="77777777" w:rsidTr="00E950D4">
        <w:trPr>
          <w:jc w:val="center"/>
        </w:trPr>
        <w:tc>
          <w:tcPr>
            <w:tcW w:w="3397" w:type="dxa"/>
            <w:vAlign w:val="center"/>
          </w:tcPr>
          <w:p w14:paraId="7D0043D7" w14:textId="07705F42"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7230" w:type="dxa"/>
            <w:gridSpan w:val="3"/>
          </w:tcPr>
          <w:p w14:paraId="01963D13" w14:textId="7E604D38" w:rsidR="008A5490" w:rsidRPr="00C53A1B" w:rsidRDefault="00824378" w:rsidP="00824378">
            <w:pPr>
              <w:jc w:val="both"/>
              <w:rPr>
                <w:rFonts w:ascii="Arial" w:hAnsi="Arial" w:cs="Arial"/>
                <w:bCs/>
                <w:noProof/>
                <w:sz w:val="20"/>
                <w:szCs w:val="20"/>
              </w:rPr>
            </w:pPr>
            <w:r w:rsidRPr="00824378">
              <w:rPr>
                <w:rFonts w:ascii="Arial" w:hAnsi="Arial" w:cs="Arial"/>
                <w:bCs/>
                <w:noProof/>
                <w:sz w:val="20"/>
                <w:szCs w:val="20"/>
              </w:rPr>
              <w:t>Sutarties galiojimo terminas – 12 (dvylikai) mėnesių nuo Sutarties įsigaliojimo datos. Jei nei viena iš Šalių likus 30 (trisdešimt) dienų iki Sutarties galiojimo termino pabaigos raštu nepraneša apie nesutikimą pratęsti Sutarties galiojimo terminą, suėjus Sutarties galiojimo terminui Sutartis automatiškai pratęsiama 1 (vieną) kartą 12 (dvylikos) mėnesių laikotarpiui. Maksimali Sutarties trukmė su pratęsimu - 24 (dvidešimt keturi) mėnesiai. Sutartis baigiasi anksčiau termino pilnai išnaudojus Sutarties kainą. </w:t>
            </w:r>
          </w:p>
        </w:tc>
      </w:tr>
      <w:tr w:rsidR="0096758A" w:rsidRPr="00C53A1B" w14:paraId="774FE17A" w14:textId="77777777" w:rsidTr="0096758A">
        <w:trPr>
          <w:trHeight w:val="590"/>
          <w:jc w:val="center"/>
        </w:trPr>
        <w:tc>
          <w:tcPr>
            <w:tcW w:w="3397" w:type="dxa"/>
            <w:vAlign w:val="center"/>
          </w:tcPr>
          <w:p w14:paraId="7F93D5AD" w14:textId="7FAB6917" w:rsidR="0096758A" w:rsidRDefault="0096758A" w:rsidP="008A5490">
            <w:pPr>
              <w:pStyle w:val="Sraopastraipa"/>
              <w:numPr>
                <w:ilvl w:val="0"/>
                <w:numId w:val="8"/>
              </w:numPr>
              <w:ind w:left="311" w:hanging="311"/>
              <w:contextualSpacing w:val="0"/>
              <w:rPr>
                <w:rFonts w:ascii="Arial" w:hAnsi="Arial" w:cs="Arial"/>
                <w:b/>
                <w:sz w:val="20"/>
                <w:szCs w:val="20"/>
              </w:rPr>
            </w:pPr>
            <w:r>
              <w:rPr>
                <w:rFonts w:ascii="Arial" w:hAnsi="Arial" w:cs="Arial"/>
                <w:b/>
                <w:sz w:val="20"/>
                <w:szCs w:val="20"/>
              </w:rPr>
              <w:t>Maksimali sutarties kaina</w:t>
            </w:r>
          </w:p>
        </w:tc>
        <w:tc>
          <w:tcPr>
            <w:tcW w:w="7230" w:type="dxa"/>
            <w:gridSpan w:val="3"/>
          </w:tcPr>
          <w:p w14:paraId="65793E17" w14:textId="6B53C442" w:rsidR="00AD14C5" w:rsidRPr="00C53A1B" w:rsidRDefault="00AD14C5" w:rsidP="00927978">
            <w:pPr>
              <w:jc w:val="both"/>
              <w:rPr>
                <w:rFonts w:ascii="Arial" w:hAnsi="Arial" w:cs="Arial"/>
                <w:bCs/>
                <w:noProof/>
                <w:sz w:val="20"/>
                <w:szCs w:val="20"/>
              </w:rPr>
            </w:pPr>
            <w:r>
              <w:rPr>
                <w:rFonts w:ascii="Arial" w:hAnsi="Arial" w:cs="Arial"/>
                <w:bCs/>
                <w:noProof/>
                <w:sz w:val="20"/>
                <w:szCs w:val="20"/>
              </w:rPr>
              <w:t>Sutarties kainodara – fiksuoto įkaini</w:t>
            </w:r>
            <w:r w:rsidR="006320FE">
              <w:rPr>
                <w:rFonts w:ascii="Arial" w:hAnsi="Arial" w:cs="Arial"/>
                <w:bCs/>
                <w:noProof/>
                <w:sz w:val="20"/>
                <w:szCs w:val="20"/>
              </w:rPr>
              <w:t>o</w:t>
            </w:r>
            <w:r>
              <w:rPr>
                <w:rFonts w:ascii="Arial" w:hAnsi="Arial" w:cs="Arial"/>
                <w:bCs/>
                <w:noProof/>
                <w:sz w:val="20"/>
                <w:szCs w:val="20"/>
              </w:rPr>
              <w:t>. Maksimali Sutarties kaina yra</w:t>
            </w:r>
            <w:r w:rsidR="00850A56">
              <w:rPr>
                <w:rFonts w:ascii="Arial" w:hAnsi="Arial" w:cs="Arial"/>
                <w:bCs/>
                <w:noProof/>
                <w:sz w:val="20"/>
                <w:szCs w:val="20"/>
              </w:rPr>
              <w:t xml:space="preserve"> </w:t>
            </w:r>
            <w:r w:rsidR="00850A56" w:rsidRPr="00850A56">
              <w:rPr>
                <w:rFonts w:ascii="Arial" w:hAnsi="Arial" w:cs="Arial"/>
                <w:bCs/>
                <w:noProof/>
                <w:sz w:val="20"/>
                <w:szCs w:val="20"/>
              </w:rPr>
              <w:t>105</w:t>
            </w:r>
            <w:r w:rsidR="00850A56">
              <w:rPr>
                <w:rFonts w:ascii="Arial" w:hAnsi="Arial" w:cs="Arial"/>
                <w:bCs/>
                <w:noProof/>
                <w:sz w:val="20"/>
                <w:szCs w:val="20"/>
              </w:rPr>
              <w:t>.</w:t>
            </w:r>
            <w:r w:rsidR="00850A56" w:rsidRPr="00850A56">
              <w:rPr>
                <w:rFonts w:ascii="Arial" w:hAnsi="Arial" w:cs="Arial"/>
                <w:bCs/>
                <w:noProof/>
                <w:sz w:val="20"/>
                <w:szCs w:val="20"/>
              </w:rPr>
              <w:t>000,00</w:t>
            </w:r>
            <w:r w:rsidR="00850A56">
              <w:rPr>
                <w:rFonts w:ascii="Arial" w:hAnsi="Arial" w:cs="Arial"/>
                <w:bCs/>
                <w:noProof/>
                <w:sz w:val="20"/>
                <w:szCs w:val="20"/>
              </w:rPr>
              <w:t xml:space="preserve"> Eur be PVM (</w:t>
            </w:r>
            <w:r w:rsidR="00850A56" w:rsidRPr="00850A56">
              <w:rPr>
                <w:rFonts w:ascii="Arial" w:hAnsi="Arial" w:cs="Arial"/>
                <w:bCs/>
                <w:noProof/>
                <w:sz w:val="20"/>
                <w:szCs w:val="20"/>
              </w:rPr>
              <w:t>vienas šimtas penki tūkstančiai eurų</w:t>
            </w:r>
            <w:r w:rsidR="00850A56">
              <w:rPr>
                <w:rFonts w:ascii="Arial" w:hAnsi="Arial" w:cs="Arial"/>
                <w:bCs/>
                <w:noProof/>
                <w:sz w:val="20"/>
                <w:szCs w:val="20"/>
              </w:rPr>
              <w:t xml:space="preserve"> ir 00 ct), </w:t>
            </w:r>
            <w:r w:rsidR="00927978">
              <w:rPr>
                <w:rFonts w:ascii="Arial" w:hAnsi="Arial" w:cs="Arial"/>
                <w:bCs/>
                <w:noProof/>
                <w:sz w:val="20"/>
                <w:szCs w:val="20"/>
              </w:rPr>
              <w:t xml:space="preserve">PVM tarifas: </w:t>
            </w:r>
            <w:r w:rsidR="002152F8" w:rsidRPr="002152F8">
              <w:rPr>
                <w:rFonts w:ascii="Arial" w:hAnsi="Arial" w:cs="Arial"/>
                <w:bCs/>
                <w:noProof/>
                <w:sz w:val="20"/>
                <w:szCs w:val="20"/>
              </w:rPr>
              <w:t>22</w:t>
            </w:r>
            <w:r w:rsidR="002152F8">
              <w:rPr>
                <w:rFonts w:ascii="Arial" w:hAnsi="Arial" w:cs="Arial"/>
                <w:bCs/>
                <w:noProof/>
                <w:sz w:val="20"/>
                <w:szCs w:val="20"/>
              </w:rPr>
              <w:t>.</w:t>
            </w:r>
            <w:r w:rsidR="002152F8" w:rsidRPr="002152F8">
              <w:rPr>
                <w:rFonts w:ascii="Arial" w:hAnsi="Arial" w:cs="Arial"/>
                <w:bCs/>
                <w:noProof/>
                <w:sz w:val="20"/>
                <w:szCs w:val="20"/>
              </w:rPr>
              <w:t>050</w:t>
            </w:r>
            <w:r w:rsidR="002152F8">
              <w:rPr>
                <w:rFonts w:ascii="Arial" w:hAnsi="Arial" w:cs="Arial"/>
                <w:bCs/>
                <w:noProof/>
                <w:sz w:val="20"/>
                <w:szCs w:val="20"/>
              </w:rPr>
              <w:t>,</w:t>
            </w:r>
            <w:r w:rsidR="002152F8" w:rsidRPr="002152F8">
              <w:rPr>
                <w:rFonts w:ascii="Arial" w:hAnsi="Arial" w:cs="Arial"/>
                <w:bCs/>
                <w:noProof/>
                <w:sz w:val="20"/>
                <w:szCs w:val="20"/>
              </w:rPr>
              <w:t>00</w:t>
            </w:r>
            <w:r w:rsidR="002152F8">
              <w:rPr>
                <w:rFonts w:ascii="Arial" w:hAnsi="Arial" w:cs="Arial"/>
                <w:bCs/>
                <w:noProof/>
                <w:sz w:val="20"/>
                <w:szCs w:val="20"/>
              </w:rPr>
              <w:t xml:space="preserve"> Eur (</w:t>
            </w:r>
            <w:r w:rsidR="002152F8" w:rsidRPr="002152F8">
              <w:rPr>
                <w:rFonts w:ascii="Arial" w:hAnsi="Arial" w:cs="Arial"/>
                <w:bCs/>
                <w:noProof/>
                <w:sz w:val="20"/>
                <w:szCs w:val="20"/>
              </w:rPr>
              <w:t>dvidešimt du tūkstančiai penkiasdešimt eurų</w:t>
            </w:r>
            <w:r w:rsidR="002152F8">
              <w:rPr>
                <w:rFonts w:ascii="Arial" w:hAnsi="Arial" w:cs="Arial"/>
                <w:bCs/>
                <w:noProof/>
                <w:sz w:val="20"/>
                <w:szCs w:val="20"/>
              </w:rPr>
              <w:t xml:space="preserve"> ir 00 ct), </w:t>
            </w:r>
            <w:r w:rsidR="002152F8" w:rsidRPr="002152F8">
              <w:rPr>
                <w:rFonts w:ascii="Arial" w:hAnsi="Arial" w:cs="Arial"/>
                <w:bCs/>
                <w:noProof/>
                <w:sz w:val="20"/>
                <w:szCs w:val="20"/>
              </w:rPr>
              <w:t>127</w:t>
            </w:r>
            <w:r w:rsidR="002152F8">
              <w:rPr>
                <w:rFonts w:ascii="Arial" w:hAnsi="Arial" w:cs="Arial"/>
                <w:bCs/>
                <w:noProof/>
                <w:sz w:val="20"/>
                <w:szCs w:val="20"/>
              </w:rPr>
              <w:t>.</w:t>
            </w:r>
            <w:r w:rsidR="002152F8" w:rsidRPr="002152F8">
              <w:rPr>
                <w:rFonts w:ascii="Arial" w:hAnsi="Arial" w:cs="Arial"/>
                <w:bCs/>
                <w:noProof/>
                <w:sz w:val="20"/>
                <w:szCs w:val="20"/>
              </w:rPr>
              <w:t>050</w:t>
            </w:r>
            <w:r w:rsidR="002152F8">
              <w:rPr>
                <w:rFonts w:ascii="Arial" w:hAnsi="Arial" w:cs="Arial"/>
                <w:bCs/>
                <w:noProof/>
                <w:sz w:val="20"/>
                <w:szCs w:val="20"/>
              </w:rPr>
              <w:t>,</w:t>
            </w:r>
            <w:r w:rsidR="002152F8" w:rsidRPr="002152F8">
              <w:rPr>
                <w:rFonts w:ascii="Arial" w:hAnsi="Arial" w:cs="Arial"/>
                <w:bCs/>
                <w:noProof/>
                <w:sz w:val="20"/>
                <w:szCs w:val="20"/>
              </w:rPr>
              <w:t>00</w:t>
            </w:r>
            <w:r w:rsidR="002152F8">
              <w:rPr>
                <w:rFonts w:ascii="Arial" w:hAnsi="Arial" w:cs="Arial"/>
                <w:bCs/>
                <w:noProof/>
                <w:sz w:val="20"/>
                <w:szCs w:val="20"/>
              </w:rPr>
              <w:t xml:space="preserve"> Eur su PVM (</w:t>
            </w:r>
            <w:r w:rsidR="006D4435" w:rsidRPr="006D4435">
              <w:rPr>
                <w:rFonts w:ascii="Arial" w:hAnsi="Arial" w:cs="Arial"/>
                <w:bCs/>
                <w:noProof/>
                <w:sz w:val="20"/>
                <w:szCs w:val="20"/>
              </w:rPr>
              <w:t>vienas šimtas dvidešimt septyni tūkstančiai penkiasdešimt eurų</w:t>
            </w:r>
            <w:r w:rsidR="006D4435">
              <w:rPr>
                <w:rFonts w:ascii="Arial" w:hAnsi="Arial" w:cs="Arial"/>
                <w:bCs/>
                <w:noProof/>
                <w:sz w:val="20"/>
                <w:szCs w:val="20"/>
              </w:rPr>
              <w:t xml:space="preserve"> ir 00 ct). </w:t>
            </w:r>
          </w:p>
        </w:tc>
      </w:tr>
      <w:tr w:rsidR="006D4435" w:rsidRPr="00C53A1B" w14:paraId="33984491" w14:textId="77777777" w:rsidTr="006D4435">
        <w:trPr>
          <w:trHeight w:val="211"/>
          <w:jc w:val="center"/>
        </w:trPr>
        <w:tc>
          <w:tcPr>
            <w:tcW w:w="3397" w:type="dxa"/>
            <w:vAlign w:val="center"/>
          </w:tcPr>
          <w:p w14:paraId="3389C89A" w14:textId="382CE789" w:rsidR="006D4435" w:rsidRDefault="006D4435" w:rsidP="008A5490">
            <w:pPr>
              <w:pStyle w:val="Sraopastraipa"/>
              <w:numPr>
                <w:ilvl w:val="0"/>
                <w:numId w:val="8"/>
              </w:numPr>
              <w:ind w:left="311" w:hanging="311"/>
              <w:contextualSpacing w:val="0"/>
              <w:rPr>
                <w:rFonts w:ascii="Arial" w:hAnsi="Arial" w:cs="Arial"/>
                <w:b/>
                <w:sz w:val="20"/>
                <w:szCs w:val="20"/>
              </w:rPr>
            </w:pPr>
            <w:r>
              <w:rPr>
                <w:rFonts w:ascii="Arial" w:hAnsi="Arial" w:cs="Arial"/>
                <w:b/>
                <w:sz w:val="20"/>
                <w:szCs w:val="20"/>
              </w:rPr>
              <w:t>Darbų 1 (vienos) tonos įkainis</w:t>
            </w:r>
          </w:p>
        </w:tc>
        <w:tc>
          <w:tcPr>
            <w:tcW w:w="7230" w:type="dxa"/>
            <w:gridSpan w:val="3"/>
          </w:tcPr>
          <w:p w14:paraId="47E19184" w14:textId="19BBC92E" w:rsidR="006D4435" w:rsidRDefault="006D4435" w:rsidP="00927978">
            <w:pPr>
              <w:jc w:val="both"/>
              <w:rPr>
                <w:rFonts w:ascii="Arial" w:hAnsi="Arial" w:cs="Arial"/>
                <w:bCs/>
                <w:noProof/>
                <w:sz w:val="20"/>
                <w:szCs w:val="20"/>
              </w:rPr>
            </w:pPr>
            <w:r>
              <w:rPr>
                <w:rFonts w:ascii="Arial" w:hAnsi="Arial" w:cs="Arial"/>
                <w:bCs/>
                <w:noProof/>
                <w:sz w:val="20"/>
                <w:szCs w:val="20"/>
              </w:rPr>
              <w:t xml:space="preserve">Nurodyti Rangovo pasiūlyme. </w:t>
            </w:r>
          </w:p>
        </w:tc>
      </w:tr>
      <w:tr w:rsidR="00456ED6" w:rsidRPr="00C53A1B" w14:paraId="17A8BA3A" w14:textId="77777777" w:rsidTr="00E950D4">
        <w:trPr>
          <w:trHeight w:val="190"/>
          <w:jc w:val="center"/>
        </w:trPr>
        <w:tc>
          <w:tcPr>
            <w:tcW w:w="3397" w:type="dxa"/>
            <w:vMerge w:val="restart"/>
            <w:vAlign w:val="center"/>
          </w:tcPr>
          <w:p w14:paraId="41A5EBA4" w14:textId="26C19D77" w:rsidR="00456ED6" w:rsidRPr="00C53A1B" w:rsidRDefault="00456ED6" w:rsidP="00724901">
            <w:pPr>
              <w:rPr>
                <w:rFonts w:ascii="Arial" w:hAnsi="Arial" w:cs="Arial"/>
                <w:b/>
                <w:bCs/>
                <w:sz w:val="20"/>
                <w:szCs w:val="20"/>
              </w:rPr>
            </w:pPr>
            <w:r w:rsidRPr="00C53A1B">
              <w:rPr>
                <w:rFonts w:ascii="Arial" w:hAnsi="Arial" w:cs="Arial"/>
                <w:b/>
                <w:bCs/>
                <w:sz w:val="20"/>
                <w:szCs w:val="20"/>
              </w:rPr>
              <w:t xml:space="preserve">6. </w:t>
            </w:r>
            <w:r w:rsidR="008A6A45">
              <w:rPr>
                <w:rFonts w:ascii="Arial" w:hAnsi="Arial" w:cs="Arial"/>
                <w:b/>
                <w:bCs/>
                <w:sz w:val="20"/>
                <w:szCs w:val="20"/>
              </w:rPr>
              <w:t>Prievolių įvykdymo užtikrinimai</w:t>
            </w:r>
          </w:p>
        </w:tc>
        <w:tc>
          <w:tcPr>
            <w:tcW w:w="3969" w:type="dxa"/>
            <w:gridSpan w:val="2"/>
            <w:vAlign w:val="center"/>
          </w:tcPr>
          <w:p w14:paraId="154DD57D" w14:textId="363993C0" w:rsidR="00F22EAF" w:rsidRPr="000931EF" w:rsidRDefault="00824378" w:rsidP="00824378">
            <w:pPr>
              <w:tabs>
                <w:tab w:val="left" w:pos="1276"/>
              </w:tabs>
              <w:jc w:val="both"/>
              <w:rPr>
                <w:rFonts w:ascii="Arial" w:hAnsi="Arial" w:cs="Arial"/>
                <w:sz w:val="20"/>
                <w:szCs w:val="20"/>
              </w:rPr>
            </w:pPr>
            <w:r w:rsidRPr="00824378">
              <w:rPr>
                <w:rFonts w:ascii="Arial" w:hAnsi="Arial" w:cs="Arial"/>
                <w:sz w:val="20"/>
                <w:szCs w:val="20"/>
              </w:rPr>
              <w:t>Sutarties įvykdymo užtikrinimas, pateikiamas vadovaujantis Sutarties bendrųjų sąlygų 11.5 punktu</w:t>
            </w:r>
          </w:p>
        </w:tc>
        <w:tc>
          <w:tcPr>
            <w:tcW w:w="3261" w:type="dxa"/>
            <w:vAlign w:val="center"/>
          </w:tcPr>
          <w:p w14:paraId="39F218A8" w14:textId="25DB20D0" w:rsidR="00F22EAF" w:rsidRPr="00C53A1B" w:rsidRDefault="00824378" w:rsidP="00BD3DAB">
            <w:pPr>
              <w:tabs>
                <w:tab w:val="left" w:pos="1276"/>
              </w:tabs>
              <w:ind w:left="-102" w:firstLine="102"/>
              <w:jc w:val="both"/>
              <w:rPr>
                <w:rFonts w:ascii="Arial" w:hAnsi="Arial" w:cs="Arial"/>
                <w:sz w:val="20"/>
                <w:szCs w:val="20"/>
              </w:rPr>
            </w:pPr>
            <w:r w:rsidRPr="00824378">
              <w:rPr>
                <w:rFonts w:ascii="Arial" w:hAnsi="Arial" w:cs="Arial"/>
                <w:sz w:val="20"/>
                <w:szCs w:val="20"/>
              </w:rPr>
              <w:t>Dydis, Eur: .............................</w:t>
            </w:r>
          </w:p>
        </w:tc>
      </w:tr>
      <w:tr w:rsidR="00BD3DAB" w:rsidRPr="00C53A1B" w14:paraId="34E57CFD" w14:textId="77777777" w:rsidTr="00E950D4">
        <w:trPr>
          <w:trHeight w:val="190"/>
          <w:jc w:val="center"/>
        </w:trPr>
        <w:tc>
          <w:tcPr>
            <w:tcW w:w="3397" w:type="dxa"/>
            <w:vMerge/>
            <w:vAlign w:val="center"/>
          </w:tcPr>
          <w:p w14:paraId="1F4CB34A" w14:textId="77777777" w:rsidR="00BD3DAB" w:rsidRPr="00C53A1B" w:rsidRDefault="00BD3DAB" w:rsidP="00724901">
            <w:pPr>
              <w:rPr>
                <w:rFonts w:ascii="Arial" w:hAnsi="Arial" w:cs="Arial"/>
                <w:b/>
                <w:bCs/>
                <w:sz w:val="20"/>
                <w:szCs w:val="20"/>
              </w:rPr>
            </w:pPr>
          </w:p>
        </w:tc>
        <w:tc>
          <w:tcPr>
            <w:tcW w:w="3969" w:type="dxa"/>
            <w:gridSpan w:val="2"/>
            <w:vAlign w:val="center"/>
          </w:tcPr>
          <w:p w14:paraId="5C86DA59" w14:textId="0593EDBF" w:rsidR="00BD3DAB" w:rsidRPr="000931EF" w:rsidRDefault="003D60FF" w:rsidP="003D60FF">
            <w:pPr>
              <w:tabs>
                <w:tab w:val="left" w:pos="1276"/>
              </w:tabs>
              <w:jc w:val="both"/>
              <w:rPr>
                <w:rFonts w:ascii="Arial" w:hAnsi="Arial" w:cs="Arial"/>
                <w:sz w:val="20"/>
                <w:szCs w:val="20"/>
              </w:rPr>
            </w:pPr>
            <w:r w:rsidRPr="003D60FF">
              <w:rPr>
                <w:rFonts w:ascii="Arial" w:hAnsi="Arial" w:cs="Arial"/>
                <w:sz w:val="20"/>
                <w:szCs w:val="20"/>
              </w:rPr>
              <w:t>Garantinio laikotarpio įsipareigojimų  garantija/ laidavimas, pateikiamas vadovaujantis Sutarties bendrųjų sąlygų 11.8 punktu </w:t>
            </w:r>
          </w:p>
        </w:tc>
        <w:tc>
          <w:tcPr>
            <w:tcW w:w="3261" w:type="dxa"/>
            <w:vAlign w:val="center"/>
          </w:tcPr>
          <w:p w14:paraId="3C737893" w14:textId="6C472EB9" w:rsidR="00BD3DAB" w:rsidRPr="00C53A1B" w:rsidRDefault="002D52BE" w:rsidP="003D7162">
            <w:pPr>
              <w:tabs>
                <w:tab w:val="left" w:pos="1276"/>
              </w:tabs>
              <w:ind w:left="-102" w:firstLine="102"/>
              <w:jc w:val="both"/>
              <w:rPr>
                <w:rFonts w:ascii="Arial" w:hAnsi="Arial" w:cs="Arial"/>
                <w:sz w:val="20"/>
                <w:szCs w:val="20"/>
              </w:rPr>
            </w:pPr>
            <w:r w:rsidRPr="002D52BE">
              <w:rPr>
                <w:rFonts w:ascii="Arial" w:hAnsi="Arial" w:cs="Arial"/>
                <w:sz w:val="20"/>
                <w:szCs w:val="20"/>
              </w:rPr>
              <w:t>Dydis, 5 proc. </w:t>
            </w:r>
          </w:p>
        </w:tc>
      </w:tr>
      <w:tr w:rsidR="00456ED6" w:rsidRPr="00C53A1B" w14:paraId="3B70AF5B" w14:textId="77777777" w:rsidTr="00E950D4">
        <w:trPr>
          <w:trHeight w:val="190"/>
          <w:jc w:val="center"/>
        </w:trPr>
        <w:tc>
          <w:tcPr>
            <w:tcW w:w="3397" w:type="dxa"/>
            <w:vMerge/>
            <w:vAlign w:val="center"/>
          </w:tcPr>
          <w:p w14:paraId="25375273" w14:textId="77777777" w:rsidR="00456ED6" w:rsidRPr="00C53A1B" w:rsidRDefault="00456ED6" w:rsidP="00724901">
            <w:pPr>
              <w:pStyle w:val="Sraopastraipa"/>
              <w:numPr>
                <w:ilvl w:val="0"/>
                <w:numId w:val="11"/>
              </w:numPr>
              <w:contextualSpacing w:val="0"/>
              <w:rPr>
                <w:rFonts w:ascii="Arial" w:hAnsi="Arial" w:cs="Arial"/>
                <w:b/>
                <w:bCs/>
                <w:sz w:val="20"/>
                <w:szCs w:val="20"/>
              </w:rPr>
            </w:pPr>
          </w:p>
        </w:tc>
        <w:tc>
          <w:tcPr>
            <w:tcW w:w="3969" w:type="dxa"/>
            <w:gridSpan w:val="2"/>
            <w:vAlign w:val="center"/>
          </w:tcPr>
          <w:p w14:paraId="5662C578" w14:textId="3CDF5568" w:rsidR="008A6A45" w:rsidRPr="000931EF" w:rsidRDefault="008A6A45" w:rsidP="000931EF">
            <w:pPr>
              <w:tabs>
                <w:tab w:val="left" w:pos="1276"/>
              </w:tabs>
              <w:rPr>
                <w:rFonts w:ascii="Arial" w:hAnsi="Arial" w:cs="Arial"/>
                <w:sz w:val="20"/>
                <w:szCs w:val="20"/>
              </w:rPr>
            </w:pPr>
            <w:r>
              <w:rPr>
                <w:rFonts w:ascii="Arial" w:hAnsi="Arial" w:cs="Arial"/>
                <w:sz w:val="20"/>
                <w:szCs w:val="20"/>
              </w:rPr>
              <w:t>Statybos darbų ir civilinės atsakomybės privalomasis</w:t>
            </w:r>
            <w:r w:rsidR="00D26682">
              <w:rPr>
                <w:rFonts w:ascii="Arial" w:hAnsi="Arial" w:cs="Arial"/>
                <w:sz w:val="20"/>
                <w:szCs w:val="20"/>
              </w:rPr>
              <w:t xml:space="preserve"> </w:t>
            </w:r>
            <w:r>
              <w:rPr>
                <w:rFonts w:ascii="Arial" w:hAnsi="Arial" w:cs="Arial"/>
                <w:sz w:val="20"/>
                <w:szCs w:val="20"/>
              </w:rPr>
              <w:t>draudimas</w:t>
            </w:r>
            <w:r w:rsidR="00462B2D">
              <w:rPr>
                <w:rFonts w:ascii="Arial" w:hAnsi="Arial" w:cs="Arial"/>
                <w:sz w:val="20"/>
                <w:szCs w:val="20"/>
              </w:rPr>
              <w:t xml:space="preserve"> </w:t>
            </w:r>
          </w:p>
        </w:tc>
        <w:tc>
          <w:tcPr>
            <w:tcW w:w="3261" w:type="dxa"/>
            <w:vAlign w:val="center"/>
          </w:tcPr>
          <w:p w14:paraId="42E3E262" w14:textId="095CF5CF" w:rsidR="00456ED6" w:rsidRPr="00DB392E" w:rsidRDefault="002D52BE" w:rsidP="002D52BE">
            <w:pPr>
              <w:tabs>
                <w:tab w:val="left" w:pos="1276"/>
              </w:tabs>
              <w:jc w:val="both"/>
              <w:rPr>
                <w:rFonts w:ascii="Arial" w:hAnsi="Arial" w:cs="Arial"/>
                <w:sz w:val="18"/>
                <w:szCs w:val="18"/>
              </w:rPr>
            </w:pPr>
            <w:r w:rsidRPr="002D52BE">
              <w:rPr>
                <w:rFonts w:ascii="Arial" w:hAnsi="Arial" w:cs="Arial"/>
                <w:sz w:val="18"/>
                <w:szCs w:val="18"/>
              </w:rPr>
              <w:t>Taikoma pagal Sutarties ir Lietuvos Respublikos teisės aktų reikalavimus </w:t>
            </w:r>
          </w:p>
        </w:tc>
      </w:tr>
      <w:tr w:rsidR="00D61119" w:rsidRPr="00C53A1B" w14:paraId="56B8485C" w14:textId="77777777" w:rsidTr="00E950D4">
        <w:trPr>
          <w:trHeight w:val="133"/>
          <w:jc w:val="center"/>
          <w:hidden/>
        </w:trPr>
        <w:tc>
          <w:tcPr>
            <w:tcW w:w="3397" w:type="dxa"/>
            <w:vAlign w:val="center"/>
          </w:tcPr>
          <w:p w14:paraId="48EA8D67" w14:textId="77777777" w:rsidR="00D61119" w:rsidRPr="00294A23" w:rsidRDefault="00D61119" w:rsidP="00D61119">
            <w:pPr>
              <w:pStyle w:val="Sraopastraipa"/>
              <w:numPr>
                <w:ilvl w:val="0"/>
                <w:numId w:val="11"/>
              </w:numPr>
              <w:rPr>
                <w:rFonts w:ascii="Arial" w:hAnsi="Arial" w:cs="Arial"/>
                <w:vanish/>
                <w:color w:val="FF0000"/>
                <w:sz w:val="20"/>
                <w:szCs w:val="20"/>
              </w:rPr>
            </w:pPr>
          </w:p>
          <w:p w14:paraId="6E587E59" w14:textId="693F87F3" w:rsidR="00D61119" w:rsidRPr="00C53A1B" w:rsidRDefault="00D61119" w:rsidP="00D61119">
            <w:pPr>
              <w:pStyle w:val="Sraopastraipa"/>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7230" w:type="dxa"/>
            <w:gridSpan w:val="3"/>
            <w:vAlign w:val="center"/>
          </w:tcPr>
          <w:p w14:paraId="53F41AE3" w14:textId="4837DB61" w:rsidR="00D61119" w:rsidRPr="00C53A1B" w:rsidRDefault="002D52BE" w:rsidP="00D61119">
            <w:pPr>
              <w:tabs>
                <w:tab w:val="left" w:pos="1276"/>
              </w:tabs>
              <w:spacing w:line="276" w:lineRule="auto"/>
              <w:ind w:left="-104" w:firstLine="104"/>
              <w:jc w:val="both"/>
              <w:rPr>
                <w:rFonts w:ascii="Arial" w:hAnsi="Arial" w:cs="Arial"/>
                <w:sz w:val="20"/>
                <w:szCs w:val="20"/>
              </w:rPr>
            </w:pPr>
            <w:r>
              <w:rPr>
                <w:rFonts w:ascii="Arial" w:hAnsi="Arial" w:cs="Arial"/>
                <w:sz w:val="20"/>
                <w:szCs w:val="20"/>
              </w:rPr>
              <w:t xml:space="preserve">Visi statiniai. </w:t>
            </w:r>
          </w:p>
        </w:tc>
      </w:tr>
      <w:tr w:rsidR="00D61119" w:rsidRPr="00C53A1B" w14:paraId="7BF9A490" w14:textId="77777777" w:rsidTr="00E950D4">
        <w:trPr>
          <w:trHeight w:val="133"/>
          <w:jc w:val="center"/>
        </w:trPr>
        <w:tc>
          <w:tcPr>
            <w:tcW w:w="3397" w:type="dxa"/>
            <w:vAlign w:val="center"/>
          </w:tcPr>
          <w:p w14:paraId="1A91FF4E" w14:textId="408542E8" w:rsidR="00D61119" w:rsidRPr="00C53A1B" w:rsidRDefault="00D61119" w:rsidP="00D61119">
            <w:pPr>
              <w:pStyle w:val="Sraopastraipa"/>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7230" w:type="dxa"/>
            <w:gridSpan w:val="3"/>
            <w:vAlign w:val="center"/>
          </w:tcPr>
          <w:p w14:paraId="6DFC1D36" w14:textId="121C2A07" w:rsidR="00D61119" w:rsidRPr="00C53A1B" w:rsidRDefault="00AD590B" w:rsidP="00D61119">
            <w:pPr>
              <w:tabs>
                <w:tab w:val="left" w:pos="1276"/>
              </w:tabs>
              <w:ind w:left="-104" w:firstLine="104"/>
              <w:jc w:val="both"/>
              <w:rPr>
                <w:rFonts w:ascii="Arial" w:hAnsi="Arial" w:cs="Arial"/>
                <w:sz w:val="20"/>
                <w:szCs w:val="20"/>
              </w:rPr>
            </w:pPr>
            <w:r w:rsidRPr="00AD590B">
              <w:rPr>
                <w:rFonts w:ascii="Arial" w:hAnsi="Arial" w:cs="Arial"/>
                <w:sz w:val="20"/>
                <w:szCs w:val="20"/>
              </w:rPr>
              <w:t>15 (penkiolika) savaičių nuo sutarties pasirašymo dienos. </w:t>
            </w:r>
          </w:p>
        </w:tc>
      </w:tr>
      <w:tr w:rsidR="00D61119" w:rsidRPr="00C53A1B" w14:paraId="3CFF6A59" w14:textId="77777777" w:rsidTr="00E950D4">
        <w:trPr>
          <w:jc w:val="center"/>
        </w:trPr>
        <w:tc>
          <w:tcPr>
            <w:tcW w:w="3397" w:type="dxa"/>
            <w:vAlign w:val="center"/>
          </w:tcPr>
          <w:p w14:paraId="7DF0BFE9" w14:textId="318BE00C" w:rsidR="00D61119" w:rsidRPr="00C53A1B" w:rsidRDefault="00D61119" w:rsidP="00D61119">
            <w:pPr>
              <w:pStyle w:val="Sraopastraipa"/>
              <w:numPr>
                <w:ilvl w:val="0"/>
                <w:numId w:val="10"/>
              </w:numPr>
              <w:ind w:left="319"/>
              <w:rPr>
                <w:rFonts w:ascii="Arial" w:hAnsi="Arial" w:cs="Arial"/>
                <w:b/>
                <w:bCs/>
                <w:sz w:val="20"/>
                <w:szCs w:val="20"/>
              </w:rPr>
            </w:pPr>
            <w:r w:rsidRPr="00C53A1B">
              <w:rPr>
                <w:rFonts w:ascii="Arial" w:hAnsi="Arial" w:cs="Arial"/>
                <w:b/>
                <w:bCs/>
                <w:noProof/>
                <w:sz w:val="20"/>
                <w:szCs w:val="20"/>
              </w:rPr>
              <w:lastRenderedPageBreak/>
              <w:t>Delspinigių dydis</w:t>
            </w:r>
          </w:p>
        </w:tc>
        <w:tc>
          <w:tcPr>
            <w:tcW w:w="7230" w:type="dxa"/>
            <w:gridSpan w:val="3"/>
            <w:vAlign w:val="center"/>
          </w:tcPr>
          <w:p w14:paraId="17FF4096" w14:textId="13621FBF"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1. Už galutinio Darbų įvykdymo vėlavimą - 0,1 proc.</w:t>
            </w:r>
            <w:r w:rsidR="001700E8">
              <w:rPr>
                <w:rFonts w:ascii="Arial" w:hAnsi="Arial" w:cs="Arial"/>
                <w:noProof/>
                <w:sz w:val="20"/>
                <w:szCs w:val="20"/>
              </w:rPr>
              <w:t xml:space="preserve"> už kiekvieną dieną</w:t>
            </w:r>
          </w:p>
          <w:p w14:paraId="365D868C" w14:textId="0042EB1F"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2. Už Darbų Tarpinio etapo vėlavimą - 0,05 proc.</w:t>
            </w:r>
            <w:r w:rsidR="002C0308">
              <w:rPr>
                <w:rFonts w:ascii="Arial" w:hAnsi="Arial" w:cs="Arial"/>
                <w:noProof/>
                <w:sz w:val="20"/>
                <w:szCs w:val="20"/>
              </w:rPr>
              <w:t xml:space="preserve"> </w:t>
            </w:r>
            <w:r w:rsidR="001700E8">
              <w:rPr>
                <w:rFonts w:ascii="Arial" w:hAnsi="Arial" w:cs="Arial"/>
                <w:noProof/>
                <w:sz w:val="20"/>
                <w:szCs w:val="20"/>
              </w:rPr>
              <w:t>už kiekvieną dieną</w:t>
            </w:r>
          </w:p>
        </w:tc>
      </w:tr>
      <w:tr w:rsidR="00D61119" w:rsidRPr="00C53A1B" w14:paraId="331D515A" w14:textId="77777777" w:rsidTr="00E950D4">
        <w:trPr>
          <w:jc w:val="center"/>
        </w:trPr>
        <w:tc>
          <w:tcPr>
            <w:tcW w:w="3397" w:type="dxa"/>
            <w:vAlign w:val="center"/>
          </w:tcPr>
          <w:p w14:paraId="2B3BC224" w14:textId="053D0847"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7230" w:type="dxa"/>
            <w:gridSpan w:val="3"/>
            <w:vAlign w:val="center"/>
          </w:tcPr>
          <w:p w14:paraId="3936CBE9" w14:textId="77777777" w:rsidR="00D61119" w:rsidRPr="00C53A1B" w:rsidRDefault="00D61119" w:rsidP="00D61119">
            <w:pPr>
              <w:pStyle w:val="Sraopastraipa"/>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00E950D4">
        <w:trPr>
          <w:jc w:val="center"/>
        </w:trPr>
        <w:tc>
          <w:tcPr>
            <w:tcW w:w="3397" w:type="dxa"/>
            <w:vAlign w:val="center"/>
          </w:tcPr>
          <w:p w14:paraId="3C20E8F1" w14:textId="707B3E3B"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7230" w:type="dxa"/>
            <w:gridSpan w:val="3"/>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9CBAD5F" w14:textId="77777777" w:rsidTr="00E950D4">
        <w:trPr>
          <w:jc w:val="center"/>
        </w:trPr>
        <w:tc>
          <w:tcPr>
            <w:tcW w:w="3397" w:type="dxa"/>
            <w:vAlign w:val="center"/>
          </w:tcPr>
          <w:p w14:paraId="420B62E5" w14:textId="78B11895"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7230" w:type="dxa"/>
            <w:gridSpan w:val="3"/>
            <w:vAlign w:val="center"/>
          </w:tcPr>
          <w:p w14:paraId="31271D81" w14:textId="550F1B99"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rPr>
              <w:t>Techninės specifikacij</w:t>
            </w:r>
            <w:r w:rsidR="00D304BE">
              <w:rPr>
                <w:rFonts w:ascii="Arial" w:hAnsi="Arial" w:cs="Arial"/>
                <w:sz w:val="20"/>
                <w:szCs w:val="20"/>
              </w:rPr>
              <w:t xml:space="preserve">a </w:t>
            </w:r>
            <w:r w:rsidRPr="00C53A1B">
              <w:rPr>
                <w:rFonts w:ascii="Arial" w:hAnsi="Arial" w:cs="Arial"/>
                <w:sz w:val="20"/>
                <w:szCs w:val="20"/>
              </w:rPr>
              <w:t xml:space="preserve">su priedais, </w:t>
            </w:r>
            <w:r w:rsidR="00EF342D">
              <w:rPr>
                <w:rFonts w:ascii="Arial" w:hAnsi="Arial" w:cs="Arial"/>
                <w:sz w:val="20"/>
                <w:szCs w:val="20"/>
              </w:rPr>
              <w:t>35</w:t>
            </w:r>
            <w:r w:rsidRPr="00C53A1B">
              <w:rPr>
                <w:rFonts w:ascii="Arial" w:hAnsi="Arial" w:cs="Arial"/>
                <w:sz w:val="20"/>
                <w:szCs w:val="20"/>
              </w:rPr>
              <w:t xml:space="preserve"> lap</w:t>
            </w:r>
            <w:r w:rsidR="00EF342D">
              <w:rPr>
                <w:rFonts w:ascii="Arial" w:hAnsi="Arial" w:cs="Arial"/>
                <w:sz w:val="20"/>
                <w:szCs w:val="20"/>
              </w:rPr>
              <w:t>ai</w:t>
            </w:r>
            <w:r w:rsidRPr="00C53A1B">
              <w:rPr>
                <w:rFonts w:ascii="Arial" w:hAnsi="Arial" w:cs="Arial"/>
                <w:bCs/>
                <w:sz w:val="20"/>
                <w:szCs w:val="20"/>
              </w:rPr>
              <w:t>;</w:t>
            </w:r>
          </w:p>
          <w:p w14:paraId="02FE7A9E"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rPr>
              <w:t>[data] Pasiūlymas (atskirai nepridedama, originalas saugomas Centrinėje viešųjų pirkimų informacinėje sistemoje);</w:t>
            </w:r>
          </w:p>
          <w:p w14:paraId="153EE349"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14:paraId="1F370FAF"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 – perdavimo akto forma, 1 lapas;</w:t>
            </w:r>
          </w:p>
          <w:p w14:paraId="49DDB73E" w14:textId="33CA1E3B" w:rsidR="00D61119" w:rsidRPr="00C53A1B" w:rsidRDefault="00D61119" w:rsidP="00D61119">
            <w:pPr>
              <w:pStyle w:val="Sraopastraipa"/>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D61119" w:rsidRPr="00C53A1B" w14:paraId="6311C887" w14:textId="77777777" w:rsidTr="00E950D4">
        <w:trPr>
          <w:trHeight w:val="185"/>
          <w:jc w:val="center"/>
        </w:trPr>
        <w:tc>
          <w:tcPr>
            <w:tcW w:w="3397" w:type="dxa"/>
            <w:vMerge w:val="restart"/>
            <w:vAlign w:val="center"/>
          </w:tcPr>
          <w:p w14:paraId="577CE113" w14:textId="22BB008A" w:rsidR="00D61119" w:rsidRPr="00C53A1B" w:rsidRDefault="00D61119" w:rsidP="00D61119">
            <w:pPr>
              <w:pStyle w:val="Sraopastraipa"/>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7230" w:type="dxa"/>
            <w:gridSpan w:val="3"/>
            <w:vAlign w:val="center"/>
          </w:tcPr>
          <w:p w14:paraId="31674D6B" w14:textId="4681A210"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B11702">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00E950D4">
        <w:trPr>
          <w:trHeight w:val="184"/>
          <w:jc w:val="center"/>
        </w:trPr>
        <w:tc>
          <w:tcPr>
            <w:tcW w:w="3397" w:type="dxa"/>
            <w:vMerge/>
          </w:tcPr>
          <w:p w14:paraId="70C8D319" w14:textId="77777777" w:rsidR="00D61119" w:rsidRPr="00C53A1B" w:rsidRDefault="00D61119" w:rsidP="00D61119">
            <w:pPr>
              <w:rPr>
                <w:rFonts w:ascii="Arial" w:hAnsi="Arial" w:cs="Arial"/>
                <w:sz w:val="20"/>
                <w:szCs w:val="20"/>
              </w:rPr>
            </w:pPr>
          </w:p>
        </w:tc>
        <w:tc>
          <w:tcPr>
            <w:tcW w:w="7230" w:type="dxa"/>
            <w:gridSpan w:val="3"/>
            <w:vAlign w:val="center"/>
          </w:tcPr>
          <w:p w14:paraId="2BD9263C" w14:textId="74FFA59D"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B11702">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00E950D4">
        <w:trPr>
          <w:jc w:val="center"/>
        </w:trPr>
        <w:tc>
          <w:tcPr>
            <w:tcW w:w="3397" w:type="dxa"/>
            <w:vAlign w:val="center"/>
          </w:tcPr>
          <w:p w14:paraId="406A9AC3" w14:textId="76134C84" w:rsidR="00D61119" w:rsidRPr="00C53A1B" w:rsidRDefault="00D61119" w:rsidP="00D61119">
            <w:pPr>
              <w:pStyle w:val="Sraopastraipa"/>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7230" w:type="dxa"/>
            <w:gridSpan w:val="3"/>
            <w:vAlign w:val="center"/>
          </w:tcPr>
          <w:p w14:paraId="54C0104B" w14:textId="77777777" w:rsidR="00D61119" w:rsidRPr="00D26682" w:rsidRDefault="00D61119" w:rsidP="00D61119">
            <w:pPr>
              <w:pStyle w:val="Sraopastraipa"/>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673DE4D6" w14:textId="77777777" w:rsidR="00D61119" w:rsidRPr="00D26682" w:rsidRDefault="00D61119" w:rsidP="00D61119">
            <w:pPr>
              <w:pStyle w:val="Sraopastraipa"/>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00E950D4">
        <w:trPr>
          <w:trHeight w:val="184"/>
          <w:jc w:val="center"/>
        </w:trPr>
        <w:tc>
          <w:tcPr>
            <w:tcW w:w="3397" w:type="dxa"/>
            <w:vAlign w:val="center"/>
          </w:tcPr>
          <w:p w14:paraId="4343B218" w14:textId="74A98CE0"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7230" w:type="dxa"/>
            <w:gridSpan w:val="3"/>
            <w:vAlign w:val="center"/>
          </w:tcPr>
          <w:p w14:paraId="2B3F3C74" w14:textId="6B33246C"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1</w:t>
            </w:r>
            <w:r>
              <w:rPr>
                <w:rFonts w:ascii="Arial" w:hAnsi="Arial" w:cs="Arial"/>
                <w:sz w:val="18"/>
                <w:szCs w:val="18"/>
              </w:rPr>
              <w:t>5</w:t>
            </w:r>
            <w:r w:rsidRPr="00EF342D">
              <w:rPr>
                <w:rFonts w:ascii="Arial" w:hAnsi="Arial" w:cs="Arial"/>
                <w:sz w:val="18"/>
                <w:szCs w:val="18"/>
              </w:rPr>
              <w:t xml:space="preserve">.1. Vykdomas žaliasis pirkimas vadovaujantis Lietuvos Respublikos aplinkos ministro 2022 m. gruodžio 13 d. įsakymo Nr. D1-401 „Dėl Lietuvos Respublikos aplinkos ministro 2011 m. birželio 28 d. įsakymo Nr. D1-508 (aktualios redakcijos) 4.3 punktu, perkamiems darbams sutarties vykdymo metu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33FF044F" w14:textId="77777777" w:rsidR="00EF342D" w:rsidRPr="00EF342D" w:rsidRDefault="00EF342D" w:rsidP="00EF342D">
            <w:pPr>
              <w:spacing w:line="276" w:lineRule="auto"/>
              <w:jc w:val="both"/>
              <w:rPr>
                <w:rFonts w:ascii="Arial" w:hAnsi="Arial" w:cs="Arial"/>
                <w:sz w:val="18"/>
                <w:szCs w:val="18"/>
              </w:rPr>
            </w:pPr>
          </w:p>
          <w:p w14:paraId="6FD69688" w14:textId="30B8E85F"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1</w:t>
            </w:r>
            <w:r>
              <w:rPr>
                <w:rFonts w:ascii="Arial" w:hAnsi="Arial" w:cs="Arial"/>
                <w:sz w:val="18"/>
                <w:szCs w:val="18"/>
              </w:rPr>
              <w:t>5</w:t>
            </w:r>
            <w:r w:rsidRPr="00EF342D">
              <w:rPr>
                <w:rFonts w:ascii="Arial" w:hAnsi="Arial" w:cs="Arial"/>
                <w:sz w:val="18"/>
                <w:szCs w:val="18"/>
              </w:rPr>
              <w:t>.</w:t>
            </w:r>
            <w:r>
              <w:rPr>
                <w:rFonts w:ascii="Arial" w:hAnsi="Arial" w:cs="Arial"/>
                <w:sz w:val="18"/>
                <w:szCs w:val="18"/>
              </w:rPr>
              <w:t>2</w:t>
            </w:r>
            <w:r w:rsidRPr="00EF342D">
              <w:rPr>
                <w:rFonts w:ascii="Arial" w:hAnsi="Arial" w:cs="Arial"/>
                <w:sz w:val="18"/>
                <w:szCs w:val="18"/>
              </w:rPr>
              <w:t xml:space="preserve">. Sutarties Bendrosios dalies 11.5 ir 11.8 punktai papildomi ir išdėstomi sekančiai: </w:t>
            </w:r>
          </w:p>
          <w:p w14:paraId="10A4F844" w14:textId="6F32D593"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 xml:space="preserve">„11.5. Rangovas ne vėliau kaip per 10 (dešimt) darbo dienų po Sutarties pasirašymo dienos įsipareigoja pateikti Užsakovui Sutarties įvykdymo užtikrinimą žemiau nurodytomis sąlygomis: </w:t>
            </w:r>
          </w:p>
          <w:p w14:paraId="3FEBFF14" w14:textId="688DF106"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 xml:space="preserve">11.5.1. Sutarties įvykdymo užtikrinimo dydis: 10 (dešimt) proc. nuo bendros Sutarties kainos be PVM; </w:t>
            </w:r>
          </w:p>
          <w:p w14:paraId="5BA56F24" w14:textId="77777777"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 xml:space="preserve">11.5.2. Sutarties įvykdymo užtikrinimo galiojimas: įvykdymo užtikrinimas turi nepertraukiamai galioti iki numatomo Rangovo sutartinių įsipareigojimų įvykdymo dienos ir 30 (trisdešimt) kalendorinių dienų po jos. Jeigu Rangovas neįvykdo sutartinių įsipareigojimų likus 30 (trisdešimt) kalendorinių dienų iki pateikto Sutarties įvykdymo užtikrinimo galiojimo pabaigos, Rangovas turi per 20 (dvidešimt) kalendorinių dienų pateikti atnaujintą (pratęstą) Sutarties įvykdymo užtikrinimą ne trumpesniam laikotarpiui kaip iki numatomos jo sutartinių įsipareigojimų įvykdymo dienos ir 30 (trisdešimt) kalendorinių dienų po jos; </w:t>
            </w:r>
          </w:p>
          <w:p w14:paraId="74A59FDA" w14:textId="77777777" w:rsidR="00EF342D" w:rsidRPr="00EF342D" w:rsidRDefault="00EF342D" w:rsidP="00EF342D">
            <w:pPr>
              <w:spacing w:line="276" w:lineRule="auto"/>
              <w:jc w:val="both"/>
              <w:rPr>
                <w:rFonts w:ascii="Arial" w:hAnsi="Arial" w:cs="Arial"/>
                <w:sz w:val="18"/>
                <w:szCs w:val="18"/>
              </w:rPr>
            </w:pPr>
          </w:p>
          <w:p w14:paraId="3D0C8D0D" w14:textId="40B75A01"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lastRenderedPageBreak/>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16B7D4ED" w14:textId="31A815E1"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 xml:space="preserve">11.5.4. Sutarties įvykdymo užtikrinimas gali būti pateikiamas finansų įstaigos garantija, arba finansų įstaigos laidavimu, išduotu finansų įstaigos, kuriai (arba kurią valdančiam subjektui, turinčiam ne mažiau kaip 50 (penkiasdešimt) proc. tos finansų įstaigos akcijų) suteiktas tarptautinės reitingų agentūros ilgalaikio skolinimo reitingas, ne mažesnis kaip Standard &amp; Poor’s reitingo agentūros – „BBB-“ arba Fitch reitingo agentūros – „BBB-“ arba Moody’s reitingo agentūros – „Baa3“.“ </w:t>
            </w:r>
          </w:p>
          <w:p w14:paraId="607BC79D" w14:textId="185C379A"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 xml:space="preserve">„11.8.Rangovas po sutartinių įsipareigojimų įvykdymo (kartu su Rangovo Galutiniu atliktų Darbų perdavimo − priėmimo aktu) arba po Sutarties nutraukimo per 10 (dešimt) darbo dienų turi Užsakovui pateikti Užsakovui priimtinos formos banko garantinių įsipareigojimų įvykdymo užtikrinimo garantiją ar draudimo bendrovės garantinių įsipareigojimų įvykdymo laidavimo raštą, išduotą žemiau nurodytomis sąlygomis: </w:t>
            </w:r>
          </w:p>
          <w:p w14:paraId="79E4E05D" w14:textId="24CDC0C6"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 xml:space="preserve">11.8.1. garantinių įsipareigojimų įvykdymo užtikrinimo dydis: 5 (penki) proc. nuo Sutarties kainos su PVM; </w:t>
            </w:r>
          </w:p>
          <w:p w14:paraId="3F30A9C3" w14:textId="04693DC1"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 xml:space="preserve">11.8.2. garantinių įsipareigojimų įvykdymo užtikrinimo galiojimas: 3 (trys) metai; </w:t>
            </w:r>
          </w:p>
          <w:p w14:paraId="57F2CCF2" w14:textId="5472D613"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 xml:space="preserve">11.8.3.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(tris) statinio garantinio termino metus, šalinimo išlaidų apmokėjimą Užsakovui; </w:t>
            </w:r>
          </w:p>
          <w:p w14:paraId="479EDD85" w14:textId="548B833F"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 xml:space="preserve">11.8.4. garantinių įsipareigojimų įvykdymo užtikrinimas taip pat turi užtikrinti dėl Rangovo kaltės atsiradusių defektų, nustatytų per pirmuosius 3 (tris) statinio garantinio termino metus, šalinimo išlaidų apmokėjimą Užsakovui; </w:t>
            </w:r>
          </w:p>
          <w:p w14:paraId="34A50D7C" w14:textId="77777777" w:rsidR="00EF342D" w:rsidRPr="00EF342D" w:rsidRDefault="00EF342D" w:rsidP="00EF342D">
            <w:pPr>
              <w:spacing w:line="276" w:lineRule="auto"/>
              <w:jc w:val="both"/>
              <w:rPr>
                <w:rFonts w:ascii="Arial" w:hAnsi="Arial" w:cs="Arial"/>
                <w:sz w:val="18"/>
                <w:szCs w:val="18"/>
              </w:rPr>
            </w:pPr>
            <w:r w:rsidRPr="00EF342D">
              <w:rPr>
                <w:rFonts w:ascii="Arial" w:hAnsi="Arial" w:cs="Arial"/>
                <w:sz w:val="18"/>
                <w:szCs w:val="18"/>
              </w:rPr>
              <w:t xml:space="preserve">11.8.5. garantinių įsipareigojimų įvykdymo užtikrinimas  gali būti pateikiamas finansų įstaigos garantija, arba finansų įstaigos laidavimu, išduotu finansų įstaigos, kuriai (arba kurią valdančiam subjektui, turinčiam ne mažiau kaip 50 (penkiasdešimt) proc. tos finansų įstaigos akcijų) suteiktas tarptautinės reitingų agentūros ilgalaikio skolinimo reitingas, ne mažesnis kaip Standard &amp; Poor’s reitingo agentūros – „BBB-“ arba Fitch reitingo agentūros – „BBB-“ arba Moody’s reitingo agentūros – „Baa3.“ </w:t>
            </w:r>
          </w:p>
          <w:p w14:paraId="3B03238A" w14:textId="77777777" w:rsidR="00EF342D" w:rsidRPr="00EF342D" w:rsidRDefault="00EF342D" w:rsidP="00EF342D">
            <w:pPr>
              <w:spacing w:line="276" w:lineRule="auto"/>
              <w:jc w:val="both"/>
              <w:rPr>
                <w:rFonts w:ascii="Arial" w:hAnsi="Arial" w:cs="Arial"/>
                <w:sz w:val="18"/>
                <w:szCs w:val="18"/>
              </w:rPr>
            </w:pPr>
          </w:p>
          <w:p w14:paraId="792B3088" w14:textId="107D6A04" w:rsidR="00D61119" w:rsidRPr="00D26682" w:rsidRDefault="00EF342D" w:rsidP="00EF342D">
            <w:pPr>
              <w:spacing w:line="276" w:lineRule="auto"/>
              <w:jc w:val="both"/>
              <w:rPr>
                <w:rFonts w:ascii="Arial" w:hAnsi="Arial" w:cs="Arial"/>
                <w:sz w:val="18"/>
                <w:szCs w:val="18"/>
              </w:rPr>
            </w:pPr>
            <w:r w:rsidRPr="00EF342D">
              <w:rPr>
                <w:rFonts w:ascii="Arial" w:hAnsi="Arial" w:cs="Arial"/>
                <w:sz w:val="18"/>
                <w:szCs w:val="18"/>
              </w:rPr>
              <w:t xml:space="preserve"> </w:t>
            </w:r>
            <w:r w:rsidR="00901144">
              <w:rPr>
                <w:rFonts w:ascii="Arial" w:hAnsi="Arial" w:cs="Arial"/>
                <w:sz w:val="18"/>
                <w:szCs w:val="18"/>
              </w:rPr>
              <w:t>15.3.</w:t>
            </w:r>
            <w:r w:rsidR="00EA024C">
              <w:rPr>
                <w:rFonts w:ascii="Arial" w:hAnsi="Arial" w:cs="Arial"/>
                <w:sz w:val="18"/>
                <w:szCs w:val="18"/>
              </w:rPr>
              <w:t xml:space="preserve"> Jeigu d</w:t>
            </w:r>
            <w:r w:rsidR="00EA024C" w:rsidRPr="00EA024C">
              <w:rPr>
                <w:rFonts w:ascii="Arial" w:hAnsi="Arial" w:cs="Arial"/>
                <w:sz w:val="18"/>
                <w:szCs w:val="18"/>
              </w:rPr>
              <w:t xml:space="preserve">emontavimo darbų metu </w:t>
            </w:r>
            <w:r w:rsidR="00EA024C">
              <w:rPr>
                <w:rFonts w:ascii="Arial" w:hAnsi="Arial" w:cs="Arial"/>
                <w:sz w:val="18"/>
                <w:szCs w:val="18"/>
              </w:rPr>
              <w:t xml:space="preserve">yra </w:t>
            </w:r>
            <w:r w:rsidR="00EA024C" w:rsidRPr="00EA024C">
              <w:rPr>
                <w:rFonts w:ascii="Arial" w:hAnsi="Arial" w:cs="Arial"/>
                <w:sz w:val="18"/>
                <w:szCs w:val="18"/>
              </w:rPr>
              <w:t>susidariusi</w:t>
            </w:r>
            <w:r w:rsidR="00EA024C">
              <w:rPr>
                <w:rFonts w:ascii="Arial" w:hAnsi="Arial" w:cs="Arial"/>
                <w:sz w:val="18"/>
                <w:szCs w:val="18"/>
              </w:rPr>
              <w:t>ų</w:t>
            </w:r>
            <w:r w:rsidR="00EA024C" w:rsidRPr="00EA024C">
              <w:rPr>
                <w:rFonts w:ascii="Arial" w:hAnsi="Arial" w:cs="Arial"/>
                <w:sz w:val="18"/>
                <w:szCs w:val="18"/>
              </w:rPr>
              <w:t xml:space="preserve"> pavojing</w:t>
            </w:r>
            <w:r w:rsidR="00EA024C">
              <w:rPr>
                <w:rFonts w:ascii="Arial" w:hAnsi="Arial" w:cs="Arial"/>
                <w:sz w:val="18"/>
                <w:szCs w:val="18"/>
              </w:rPr>
              <w:t>ų</w:t>
            </w:r>
            <w:r w:rsidR="00EA024C" w:rsidRPr="00EA024C">
              <w:rPr>
                <w:rFonts w:ascii="Arial" w:hAnsi="Arial" w:cs="Arial"/>
                <w:sz w:val="18"/>
                <w:szCs w:val="18"/>
              </w:rPr>
              <w:t xml:space="preserve"> atliek</w:t>
            </w:r>
            <w:r w:rsidR="00EA024C">
              <w:rPr>
                <w:rFonts w:ascii="Arial" w:hAnsi="Arial" w:cs="Arial"/>
                <w:sz w:val="18"/>
                <w:szCs w:val="18"/>
              </w:rPr>
              <w:t>ų</w:t>
            </w:r>
            <w:r w:rsidR="00EA024C" w:rsidRPr="00EA024C">
              <w:rPr>
                <w:rFonts w:ascii="Arial" w:hAnsi="Arial" w:cs="Arial"/>
                <w:sz w:val="18"/>
                <w:szCs w:val="18"/>
              </w:rPr>
              <w:t xml:space="preserve"> – metalo vamzdyn</w:t>
            </w:r>
            <w:r w:rsidR="006B0588">
              <w:rPr>
                <w:rFonts w:ascii="Arial" w:hAnsi="Arial" w:cs="Arial"/>
                <w:sz w:val="18"/>
                <w:szCs w:val="18"/>
              </w:rPr>
              <w:t>ai</w:t>
            </w:r>
            <w:r w:rsidR="00EA024C" w:rsidRPr="00EA024C">
              <w:rPr>
                <w:rFonts w:ascii="Arial" w:hAnsi="Arial" w:cs="Arial"/>
                <w:sz w:val="18"/>
                <w:szCs w:val="18"/>
              </w:rPr>
              <w:t xml:space="preserve"> užteršt</w:t>
            </w:r>
            <w:r w:rsidR="006B0588">
              <w:rPr>
                <w:rFonts w:ascii="Arial" w:hAnsi="Arial" w:cs="Arial"/>
                <w:sz w:val="18"/>
                <w:szCs w:val="18"/>
              </w:rPr>
              <w:t>i</w:t>
            </w:r>
            <w:r w:rsidR="00EA024C" w:rsidRPr="00EA024C">
              <w:rPr>
                <w:rFonts w:ascii="Arial" w:hAnsi="Arial" w:cs="Arial"/>
                <w:sz w:val="18"/>
                <w:szCs w:val="18"/>
              </w:rPr>
              <w:t xml:space="preserve"> mazutu, </w:t>
            </w:r>
            <w:r w:rsidR="006B0588">
              <w:rPr>
                <w:rFonts w:ascii="Arial" w:hAnsi="Arial" w:cs="Arial"/>
                <w:sz w:val="18"/>
                <w:szCs w:val="18"/>
              </w:rPr>
              <w:t xml:space="preserve">juos </w:t>
            </w:r>
            <w:r w:rsidR="00EA024C" w:rsidRPr="00EA024C">
              <w:rPr>
                <w:rFonts w:ascii="Arial" w:hAnsi="Arial" w:cs="Arial"/>
                <w:sz w:val="18"/>
                <w:szCs w:val="18"/>
              </w:rPr>
              <w:t xml:space="preserve">gali vežti ir tvarkyti </w:t>
            </w:r>
            <w:r w:rsidR="00EA024C">
              <w:rPr>
                <w:rFonts w:ascii="Arial" w:hAnsi="Arial" w:cs="Arial"/>
                <w:sz w:val="18"/>
                <w:szCs w:val="18"/>
              </w:rPr>
              <w:t>Rangovas</w:t>
            </w:r>
            <w:r w:rsidR="00EB505A">
              <w:rPr>
                <w:rFonts w:ascii="Arial" w:hAnsi="Arial" w:cs="Arial"/>
                <w:sz w:val="18"/>
                <w:szCs w:val="18"/>
              </w:rPr>
              <w:t xml:space="preserve"> (</w:t>
            </w:r>
            <w:r w:rsidR="00EB505A" w:rsidRPr="00EB505A">
              <w:rPr>
                <w:rFonts w:ascii="Arial" w:hAnsi="Arial" w:cs="Arial"/>
                <w:sz w:val="18"/>
                <w:szCs w:val="18"/>
              </w:rPr>
              <w:t>ir/ ar  ūkio subjektas, kurio pajėgumais remiamasi</w:t>
            </w:r>
            <w:r w:rsidR="00EB505A">
              <w:rPr>
                <w:rFonts w:ascii="Arial" w:hAnsi="Arial" w:cs="Arial"/>
                <w:sz w:val="18"/>
                <w:szCs w:val="18"/>
              </w:rPr>
              <w:t>)</w:t>
            </w:r>
            <w:r w:rsidR="00EA024C" w:rsidRPr="00EA024C">
              <w:rPr>
                <w:rFonts w:ascii="Arial" w:hAnsi="Arial" w:cs="Arial"/>
                <w:sz w:val="18"/>
                <w:szCs w:val="18"/>
              </w:rPr>
              <w:t>, kuris yra licencijuotas kaip pavojingų atliekų tvarkytojas ir vežėjas bei yra registruotas ATVR registre</w:t>
            </w:r>
            <w:r w:rsidR="00EA024C">
              <w:rPr>
                <w:rFonts w:ascii="Arial" w:hAnsi="Arial" w:cs="Arial"/>
                <w:sz w:val="18"/>
                <w:szCs w:val="18"/>
              </w:rPr>
              <w:t xml:space="preserve">. </w:t>
            </w:r>
            <w:r w:rsidR="00EA024C" w:rsidRPr="00EA024C">
              <w:rPr>
                <w:rFonts w:ascii="Arial" w:hAnsi="Arial" w:cs="Arial"/>
                <w:sz w:val="18"/>
                <w:szCs w:val="18"/>
              </w:rPr>
              <w:t>Pervežtos ir sutvarkytos atliekos turi būti apskaitomos GPAIS sistemoje, pateikiant išrašus – lydraščius</w:t>
            </w:r>
            <w:r w:rsidR="00EA024C">
              <w:rPr>
                <w:rFonts w:ascii="Arial" w:hAnsi="Arial" w:cs="Arial"/>
                <w:sz w:val="18"/>
                <w:szCs w:val="18"/>
              </w:rPr>
              <w:t xml:space="preserve"> ar kt. dokumentus</w:t>
            </w:r>
            <w:r w:rsidR="00EA024C" w:rsidRPr="00EA024C">
              <w:rPr>
                <w:rFonts w:ascii="Arial" w:hAnsi="Arial" w:cs="Arial"/>
                <w:sz w:val="18"/>
                <w:szCs w:val="18"/>
              </w:rPr>
              <w:t>, kaip įrodym</w:t>
            </w:r>
            <w:r w:rsidR="00EB505A">
              <w:rPr>
                <w:rFonts w:ascii="Arial" w:hAnsi="Arial" w:cs="Arial"/>
                <w:sz w:val="18"/>
                <w:szCs w:val="18"/>
              </w:rPr>
              <w:t>us</w:t>
            </w:r>
            <w:r w:rsidR="00EA024C" w:rsidRPr="00EA024C">
              <w:rPr>
                <w:rFonts w:ascii="Arial" w:hAnsi="Arial" w:cs="Arial"/>
                <w:sz w:val="18"/>
                <w:szCs w:val="18"/>
              </w:rPr>
              <w:t xml:space="preserve">, jog atliekos buvo </w:t>
            </w:r>
            <w:r w:rsidR="00EA024C">
              <w:rPr>
                <w:rFonts w:ascii="Arial" w:hAnsi="Arial" w:cs="Arial"/>
                <w:sz w:val="18"/>
                <w:szCs w:val="18"/>
              </w:rPr>
              <w:t>sutvarkytos tinkamai.</w:t>
            </w:r>
            <w:r w:rsidR="00EA024C" w:rsidRPr="00EA024C">
              <w:rPr>
                <w:rFonts w:ascii="Arial" w:hAnsi="Arial" w:cs="Arial"/>
                <w:sz w:val="18"/>
                <w:szCs w:val="18"/>
              </w:rPr>
              <w:t xml:space="preserve"> </w:t>
            </w:r>
          </w:p>
        </w:tc>
      </w:tr>
      <w:tr w:rsidR="00D61119" w:rsidRPr="00C53A1B" w14:paraId="42CA1828" w14:textId="77777777" w:rsidTr="00E950D4">
        <w:trPr>
          <w:trHeight w:val="184"/>
          <w:jc w:val="center"/>
        </w:trPr>
        <w:tc>
          <w:tcPr>
            <w:tcW w:w="3397" w:type="dxa"/>
            <w:vAlign w:val="center"/>
          </w:tcPr>
          <w:p w14:paraId="2A790FB3" w14:textId="6C3D152D" w:rsidR="00D61119" w:rsidRPr="00C53A1B" w:rsidRDefault="00D61119" w:rsidP="00D61119">
            <w:pPr>
              <w:pStyle w:val="Sraopastraipa"/>
              <w:numPr>
                <w:ilvl w:val="0"/>
                <w:numId w:val="10"/>
              </w:numPr>
              <w:ind w:left="318"/>
              <w:contextualSpacing w:val="0"/>
              <w:rPr>
                <w:rFonts w:ascii="Arial" w:hAnsi="Arial" w:cs="Arial"/>
                <w:b/>
                <w:bCs/>
                <w:sz w:val="20"/>
                <w:szCs w:val="20"/>
              </w:rPr>
            </w:pPr>
            <w:bookmarkStart w:id="0" w:name="_Hlk85529117"/>
            <w:r w:rsidRPr="00C53A1B">
              <w:rPr>
                <w:rFonts w:ascii="Arial" w:hAnsi="Arial" w:cs="Arial"/>
                <w:b/>
                <w:bCs/>
                <w:sz w:val="20"/>
                <w:szCs w:val="20"/>
              </w:rPr>
              <w:lastRenderedPageBreak/>
              <w:t>Sutarties pasirašymo būdas:</w:t>
            </w:r>
          </w:p>
        </w:tc>
        <w:tc>
          <w:tcPr>
            <w:tcW w:w="7230" w:type="dxa"/>
            <w:gridSpan w:val="3"/>
            <w:vAlign w:val="center"/>
          </w:tcPr>
          <w:p w14:paraId="663E714F" w14:textId="058F395E"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PASIRINKTI VIENĄ:</w:t>
            </w:r>
          </w:p>
          <w:p w14:paraId="02DFA86D" w14:textId="11AAF324"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w:t>
            </w:r>
          </w:p>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0E76C478"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 apsikeičiant Sutarties skenuota pasirašyta versija.</w:t>
            </w:r>
          </w:p>
        </w:tc>
      </w:tr>
      <w:bookmarkEnd w:id="0"/>
    </w:tbl>
    <w:p w14:paraId="0D5FFEF2" w14:textId="77777777" w:rsidR="00DA1A7B" w:rsidRPr="00C53A1B" w:rsidRDefault="00DA1A7B" w:rsidP="00F578BC">
      <w:pPr>
        <w:pStyle w:val="Sraopastraipa"/>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Sraopastraipa"/>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shd w:val="clear" w:color="auto" w:fill="auto"/>
          </w:tcPr>
          <w:p w14:paraId="3B36ADA3" w14:textId="77777777" w:rsidR="00D43932" w:rsidRPr="00C53A1B" w:rsidRDefault="00D43932" w:rsidP="00B43E83">
            <w:pPr>
              <w:jc w:val="both"/>
              <w:rPr>
                <w:rFonts w:ascii="Arial" w:hAnsi="Arial" w:cs="Arial"/>
                <w:b/>
                <w:noProof/>
                <w:sz w:val="20"/>
                <w:szCs w:val="20"/>
              </w:rPr>
            </w:pPr>
            <w:bookmarkStart w:id="1" w:name="_Hlk83730618"/>
            <w:r w:rsidRPr="00C53A1B">
              <w:rPr>
                <w:rFonts w:ascii="Arial" w:hAnsi="Arial" w:cs="Arial"/>
                <w:b/>
                <w:noProof/>
                <w:sz w:val="20"/>
                <w:szCs w:val="20"/>
              </w:rPr>
              <w:t>Užsakovas</w:t>
            </w:r>
          </w:p>
        </w:tc>
        <w:tc>
          <w:tcPr>
            <w:tcW w:w="4666" w:type="dxa"/>
            <w:shd w:val="clear" w:color="auto" w:fill="auto"/>
          </w:tcPr>
          <w:p w14:paraId="3BB01FFB"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shd w:val="clear" w:color="auto" w:fill="auto"/>
          </w:tcPr>
          <w:p w14:paraId="7CF3A3F9"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AB „Kauno energija“</w:t>
            </w:r>
          </w:p>
        </w:tc>
        <w:tc>
          <w:tcPr>
            <w:tcW w:w="4666" w:type="dxa"/>
            <w:shd w:val="clear" w:color="auto" w:fill="auto"/>
          </w:tcPr>
          <w:p w14:paraId="29E67BAC" w14:textId="77777777" w:rsidR="00D43932" w:rsidRPr="00C53A1B" w:rsidRDefault="00D43932" w:rsidP="00B43E83">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shd w:val="clear" w:color="auto" w:fill="auto"/>
          </w:tcPr>
          <w:p w14:paraId="42A2F2A6" w14:textId="29F00CB9" w:rsidR="00D43932" w:rsidRPr="00C53A1B" w:rsidRDefault="00D43932" w:rsidP="00B43E83">
            <w:pPr>
              <w:jc w:val="both"/>
              <w:rPr>
                <w:rFonts w:ascii="Arial" w:hAnsi="Arial" w:cs="Arial"/>
                <w:bCs/>
                <w:noProof/>
                <w:sz w:val="20"/>
                <w:szCs w:val="20"/>
              </w:rPr>
            </w:pPr>
          </w:p>
          <w:p w14:paraId="0043B11C"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B43E83">
            <w:pPr>
              <w:jc w:val="both"/>
              <w:rPr>
                <w:rFonts w:ascii="Arial" w:hAnsi="Arial" w:cs="Arial"/>
                <w:bCs/>
                <w:noProof/>
                <w:sz w:val="20"/>
                <w:szCs w:val="20"/>
              </w:rPr>
            </w:pPr>
          </w:p>
          <w:p w14:paraId="70CD99C9"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shd w:val="clear" w:color="auto" w:fill="auto"/>
          </w:tcPr>
          <w:p w14:paraId="1A91A5EA" w14:textId="77777777" w:rsidR="00D43932" w:rsidRPr="00C53A1B" w:rsidRDefault="00D43932" w:rsidP="00B43E83">
            <w:pPr>
              <w:jc w:val="both"/>
              <w:rPr>
                <w:rFonts w:ascii="Arial" w:hAnsi="Arial" w:cs="Arial"/>
                <w:bCs/>
                <w:noProof/>
                <w:sz w:val="20"/>
                <w:szCs w:val="20"/>
              </w:rPr>
            </w:pPr>
          </w:p>
          <w:p w14:paraId="6096B914" w14:textId="4D73268C"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B43E83">
            <w:pPr>
              <w:jc w:val="both"/>
              <w:rPr>
                <w:rFonts w:ascii="Arial" w:hAnsi="Arial" w:cs="Arial"/>
                <w:bCs/>
                <w:noProof/>
                <w:sz w:val="20"/>
                <w:szCs w:val="20"/>
              </w:rPr>
            </w:pPr>
          </w:p>
          <w:p w14:paraId="7A6AB0C0"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1"/>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2"/>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AE512" w14:textId="77777777" w:rsidR="00E41659" w:rsidRDefault="00E41659" w:rsidP="00FA0543">
      <w:r>
        <w:separator/>
      </w:r>
    </w:p>
  </w:endnote>
  <w:endnote w:type="continuationSeparator" w:id="0">
    <w:p w14:paraId="1C754526" w14:textId="77777777" w:rsidR="00E41659" w:rsidRDefault="00E41659"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F3C20" w14:textId="77777777" w:rsidR="00E41659" w:rsidRDefault="00E41659" w:rsidP="00FA0543">
      <w:r>
        <w:separator/>
      </w:r>
    </w:p>
  </w:footnote>
  <w:footnote w:type="continuationSeparator" w:id="0">
    <w:p w14:paraId="6D4388A7" w14:textId="77777777" w:rsidR="00E41659" w:rsidRDefault="00E41659"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4821901"/>
      <w:docPartObj>
        <w:docPartGallery w:val="Page Numbers (Top of Page)"/>
        <w:docPartUnique/>
      </w:docPartObj>
    </w:sdtPr>
    <w:sdtContent>
      <w:p w14:paraId="11BA8F8C" w14:textId="375E4A78" w:rsidR="00456ED6" w:rsidRDefault="00456ED6" w:rsidP="00456ED6">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7D546F10"/>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23587221">
    <w:abstractNumId w:val="2"/>
  </w:num>
  <w:num w:numId="2" w16cid:durableId="1888448124">
    <w:abstractNumId w:val="20"/>
  </w:num>
  <w:num w:numId="3" w16cid:durableId="423036409">
    <w:abstractNumId w:val="17"/>
  </w:num>
  <w:num w:numId="4" w16cid:durableId="509175084">
    <w:abstractNumId w:val="3"/>
  </w:num>
  <w:num w:numId="5" w16cid:durableId="941380223">
    <w:abstractNumId w:val="8"/>
  </w:num>
  <w:num w:numId="6" w16cid:durableId="1414859771">
    <w:abstractNumId w:val="7"/>
  </w:num>
  <w:num w:numId="7" w16cid:durableId="1717847240">
    <w:abstractNumId w:val="12"/>
  </w:num>
  <w:num w:numId="8" w16cid:durableId="1137794380">
    <w:abstractNumId w:val="18"/>
  </w:num>
  <w:num w:numId="9" w16cid:durableId="1220751314">
    <w:abstractNumId w:val="5"/>
  </w:num>
  <w:num w:numId="10" w16cid:durableId="1637643594">
    <w:abstractNumId w:val="9"/>
  </w:num>
  <w:num w:numId="11" w16cid:durableId="1193693125">
    <w:abstractNumId w:val="4"/>
  </w:num>
  <w:num w:numId="12" w16cid:durableId="612634070">
    <w:abstractNumId w:val="10"/>
  </w:num>
  <w:num w:numId="13" w16cid:durableId="2095852992">
    <w:abstractNumId w:val="15"/>
  </w:num>
  <w:num w:numId="14" w16cid:durableId="1496914843">
    <w:abstractNumId w:val="11"/>
  </w:num>
  <w:num w:numId="15" w16cid:durableId="1993480055">
    <w:abstractNumId w:val="16"/>
  </w:num>
  <w:num w:numId="16" w16cid:durableId="2130082742">
    <w:abstractNumId w:val="0"/>
  </w:num>
  <w:num w:numId="17" w16cid:durableId="628979974">
    <w:abstractNumId w:val="19"/>
  </w:num>
  <w:num w:numId="18" w16cid:durableId="1897663618">
    <w:abstractNumId w:val="6"/>
  </w:num>
  <w:num w:numId="19" w16cid:durableId="1060901154">
    <w:abstractNumId w:val="13"/>
  </w:num>
  <w:num w:numId="20" w16cid:durableId="1599362735">
    <w:abstractNumId w:val="1"/>
  </w:num>
  <w:num w:numId="21" w16cid:durableId="680088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6827"/>
    <w:rsid w:val="0002293A"/>
    <w:rsid w:val="00030D52"/>
    <w:rsid w:val="000361A8"/>
    <w:rsid w:val="0004082F"/>
    <w:rsid w:val="00081B61"/>
    <w:rsid w:val="000931EF"/>
    <w:rsid w:val="000B0735"/>
    <w:rsid w:val="000D0E2E"/>
    <w:rsid w:val="000D6DAC"/>
    <w:rsid w:val="00102F5E"/>
    <w:rsid w:val="00135A5F"/>
    <w:rsid w:val="00135B47"/>
    <w:rsid w:val="00150EED"/>
    <w:rsid w:val="001700E8"/>
    <w:rsid w:val="001D361A"/>
    <w:rsid w:val="001D4405"/>
    <w:rsid w:val="001F1B92"/>
    <w:rsid w:val="001F4F2F"/>
    <w:rsid w:val="002152F8"/>
    <w:rsid w:val="002468BE"/>
    <w:rsid w:val="00266E40"/>
    <w:rsid w:val="002A220A"/>
    <w:rsid w:val="002A5BCC"/>
    <w:rsid w:val="002B1F2A"/>
    <w:rsid w:val="002B6705"/>
    <w:rsid w:val="002B76E1"/>
    <w:rsid w:val="002C0308"/>
    <w:rsid w:val="002C2D52"/>
    <w:rsid w:val="002C5914"/>
    <w:rsid w:val="002D52BE"/>
    <w:rsid w:val="002F0E66"/>
    <w:rsid w:val="002F3C30"/>
    <w:rsid w:val="00311D3A"/>
    <w:rsid w:val="003142E5"/>
    <w:rsid w:val="0031748E"/>
    <w:rsid w:val="00320574"/>
    <w:rsid w:val="003226DA"/>
    <w:rsid w:val="00342821"/>
    <w:rsid w:val="003463FA"/>
    <w:rsid w:val="00365C5B"/>
    <w:rsid w:val="0037417D"/>
    <w:rsid w:val="00375C7D"/>
    <w:rsid w:val="0038156A"/>
    <w:rsid w:val="003A7140"/>
    <w:rsid w:val="003B429D"/>
    <w:rsid w:val="003D60FF"/>
    <w:rsid w:val="003D6B7C"/>
    <w:rsid w:val="003E64BF"/>
    <w:rsid w:val="003E707C"/>
    <w:rsid w:val="00401D1E"/>
    <w:rsid w:val="0040380F"/>
    <w:rsid w:val="00415B2A"/>
    <w:rsid w:val="00432226"/>
    <w:rsid w:val="00444AEE"/>
    <w:rsid w:val="00455B0F"/>
    <w:rsid w:val="00456ED6"/>
    <w:rsid w:val="00462B2D"/>
    <w:rsid w:val="00490965"/>
    <w:rsid w:val="00496DA9"/>
    <w:rsid w:val="004A1A1C"/>
    <w:rsid w:val="004A33BD"/>
    <w:rsid w:val="004B0AB2"/>
    <w:rsid w:val="004F1FD7"/>
    <w:rsid w:val="00505620"/>
    <w:rsid w:val="00517281"/>
    <w:rsid w:val="00527D9A"/>
    <w:rsid w:val="00565F23"/>
    <w:rsid w:val="0057369F"/>
    <w:rsid w:val="00594C7A"/>
    <w:rsid w:val="00596611"/>
    <w:rsid w:val="00596C9D"/>
    <w:rsid w:val="00607BC1"/>
    <w:rsid w:val="006320FE"/>
    <w:rsid w:val="00645539"/>
    <w:rsid w:val="00646253"/>
    <w:rsid w:val="00652B59"/>
    <w:rsid w:val="006552D1"/>
    <w:rsid w:val="0065532F"/>
    <w:rsid w:val="00657D4C"/>
    <w:rsid w:val="006716D2"/>
    <w:rsid w:val="006825F1"/>
    <w:rsid w:val="006941D9"/>
    <w:rsid w:val="0069708A"/>
    <w:rsid w:val="006A6DBC"/>
    <w:rsid w:val="006B0588"/>
    <w:rsid w:val="006D4435"/>
    <w:rsid w:val="006E05C8"/>
    <w:rsid w:val="00701C19"/>
    <w:rsid w:val="00705150"/>
    <w:rsid w:val="007100E8"/>
    <w:rsid w:val="00710A45"/>
    <w:rsid w:val="00710F28"/>
    <w:rsid w:val="00724901"/>
    <w:rsid w:val="00770480"/>
    <w:rsid w:val="00775C3B"/>
    <w:rsid w:val="007837BF"/>
    <w:rsid w:val="00784C1D"/>
    <w:rsid w:val="007A03A6"/>
    <w:rsid w:val="007D2CCE"/>
    <w:rsid w:val="007D7BC2"/>
    <w:rsid w:val="007E4E2D"/>
    <w:rsid w:val="007E52FA"/>
    <w:rsid w:val="00803236"/>
    <w:rsid w:val="008051A2"/>
    <w:rsid w:val="00815F5D"/>
    <w:rsid w:val="0082057E"/>
    <w:rsid w:val="00824378"/>
    <w:rsid w:val="0082553B"/>
    <w:rsid w:val="00831825"/>
    <w:rsid w:val="008502A8"/>
    <w:rsid w:val="00850A56"/>
    <w:rsid w:val="0085136C"/>
    <w:rsid w:val="00851E3D"/>
    <w:rsid w:val="00860758"/>
    <w:rsid w:val="00860F4B"/>
    <w:rsid w:val="00882E1A"/>
    <w:rsid w:val="008830CC"/>
    <w:rsid w:val="008900B3"/>
    <w:rsid w:val="00890E44"/>
    <w:rsid w:val="008A2E0E"/>
    <w:rsid w:val="008A5490"/>
    <w:rsid w:val="008A6A45"/>
    <w:rsid w:val="008C6DCE"/>
    <w:rsid w:val="008E4F9C"/>
    <w:rsid w:val="008F2802"/>
    <w:rsid w:val="00901144"/>
    <w:rsid w:val="00906ABB"/>
    <w:rsid w:val="00913252"/>
    <w:rsid w:val="00927978"/>
    <w:rsid w:val="00937821"/>
    <w:rsid w:val="00941AF5"/>
    <w:rsid w:val="0096392E"/>
    <w:rsid w:val="0096758A"/>
    <w:rsid w:val="00971857"/>
    <w:rsid w:val="00973B32"/>
    <w:rsid w:val="00983813"/>
    <w:rsid w:val="009852E9"/>
    <w:rsid w:val="00991093"/>
    <w:rsid w:val="009A1C18"/>
    <w:rsid w:val="009C66C9"/>
    <w:rsid w:val="009D5C5F"/>
    <w:rsid w:val="009F0CBE"/>
    <w:rsid w:val="00A0166D"/>
    <w:rsid w:val="00A11B4E"/>
    <w:rsid w:val="00A2281F"/>
    <w:rsid w:val="00A3458F"/>
    <w:rsid w:val="00A45E20"/>
    <w:rsid w:val="00A70EC6"/>
    <w:rsid w:val="00A8751E"/>
    <w:rsid w:val="00A9231C"/>
    <w:rsid w:val="00AA4008"/>
    <w:rsid w:val="00AA60C8"/>
    <w:rsid w:val="00AB3C9D"/>
    <w:rsid w:val="00AC0B64"/>
    <w:rsid w:val="00AD14C5"/>
    <w:rsid w:val="00AD590B"/>
    <w:rsid w:val="00B03679"/>
    <w:rsid w:val="00B11702"/>
    <w:rsid w:val="00B46A7C"/>
    <w:rsid w:val="00B53078"/>
    <w:rsid w:val="00B6022E"/>
    <w:rsid w:val="00B61CA4"/>
    <w:rsid w:val="00B720B1"/>
    <w:rsid w:val="00B85170"/>
    <w:rsid w:val="00BC0E15"/>
    <w:rsid w:val="00BD3DAB"/>
    <w:rsid w:val="00BD7A2E"/>
    <w:rsid w:val="00BE4B63"/>
    <w:rsid w:val="00C07275"/>
    <w:rsid w:val="00C25DB6"/>
    <w:rsid w:val="00C27162"/>
    <w:rsid w:val="00C50655"/>
    <w:rsid w:val="00C53A1B"/>
    <w:rsid w:val="00C71A39"/>
    <w:rsid w:val="00C72AA2"/>
    <w:rsid w:val="00CA0DC0"/>
    <w:rsid w:val="00CB65F6"/>
    <w:rsid w:val="00CC3A8F"/>
    <w:rsid w:val="00CD6F35"/>
    <w:rsid w:val="00CF7FE7"/>
    <w:rsid w:val="00D226F7"/>
    <w:rsid w:val="00D26682"/>
    <w:rsid w:val="00D304BE"/>
    <w:rsid w:val="00D36D78"/>
    <w:rsid w:val="00D43932"/>
    <w:rsid w:val="00D46266"/>
    <w:rsid w:val="00D5270D"/>
    <w:rsid w:val="00D575C3"/>
    <w:rsid w:val="00D61119"/>
    <w:rsid w:val="00D64C3D"/>
    <w:rsid w:val="00D66515"/>
    <w:rsid w:val="00D87FC3"/>
    <w:rsid w:val="00D948BC"/>
    <w:rsid w:val="00DA1A7B"/>
    <w:rsid w:val="00DA6148"/>
    <w:rsid w:val="00DB0D21"/>
    <w:rsid w:val="00DB392E"/>
    <w:rsid w:val="00DD41F8"/>
    <w:rsid w:val="00DE18A0"/>
    <w:rsid w:val="00DF7102"/>
    <w:rsid w:val="00E34555"/>
    <w:rsid w:val="00E41659"/>
    <w:rsid w:val="00E45AB3"/>
    <w:rsid w:val="00E771AD"/>
    <w:rsid w:val="00E81A95"/>
    <w:rsid w:val="00E84643"/>
    <w:rsid w:val="00E93ECB"/>
    <w:rsid w:val="00E950D4"/>
    <w:rsid w:val="00EA024C"/>
    <w:rsid w:val="00EA0BD1"/>
    <w:rsid w:val="00EB505A"/>
    <w:rsid w:val="00EE3201"/>
    <w:rsid w:val="00EF342D"/>
    <w:rsid w:val="00EF60D9"/>
    <w:rsid w:val="00F22EAF"/>
    <w:rsid w:val="00F35498"/>
    <w:rsid w:val="00F5043B"/>
    <w:rsid w:val="00F578BC"/>
    <w:rsid w:val="00F70FE8"/>
    <w:rsid w:val="00F75DD9"/>
    <w:rsid w:val="00FA0543"/>
    <w:rsid w:val="00FA74F6"/>
    <w:rsid w:val="00FC1D17"/>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96758A"/>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933638">
      <w:bodyDiv w:val="1"/>
      <w:marLeft w:val="0"/>
      <w:marRight w:val="0"/>
      <w:marTop w:val="0"/>
      <w:marBottom w:val="0"/>
      <w:divBdr>
        <w:top w:val="none" w:sz="0" w:space="0" w:color="auto"/>
        <w:left w:val="none" w:sz="0" w:space="0" w:color="auto"/>
        <w:bottom w:val="none" w:sz="0" w:space="0" w:color="auto"/>
        <w:right w:val="none" w:sz="0" w:space="0" w:color="auto"/>
      </w:divBdr>
    </w:div>
    <w:div w:id="1263100956">
      <w:bodyDiv w:val="1"/>
      <w:marLeft w:val="0"/>
      <w:marRight w:val="0"/>
      <w:marTop w:val="0"/>
      <w:marBottom w:val="0"/>
      <w:divBdr>
        <w:top w:val="none" w:sz="0" w:space="0" w:color="auto"/>
        <w:left w:val="none" w:sz="0" w:space="0" w:color="auto"/>
        <w:bottom w:val="none" w:sz="0" w:space="0" w:color="auto"/>
        <w:right w:val="none" w:sz="0" w:space="0" w:color="auto"/>
      </w:divBdr>
    </w:div>
    <w:div w:id="1918173308">
      <w:bodyDiv w:val="1"/>
      <w:marLeft w:val="0"/>
      <w:marRight w:val="0"/>
      <w:marTop w:val="0"/>
      <w:marBottom w:val="0"/>
      <w:divBdr>
        <w:top w:val="none" w:sz="0" w:space="0" w:color="auto"/>
        <w:left w:val="none" w:sz="0" w:space="0" w:color="auto"/>
        <w:bottom w:val="none" w:sz="0" w:space="0" w:color="auto"/>
        <w:right w:val="none" w:sz="0" w:space="0" w:color="auto"/>
      </w:divBdr>
      <w:divsChild>
        <w:div w:id="341130689">
          <w:marLeft w:val="0"/>
          <w:marRight w:val="0"/>
          <w:marTop w:val="0"/>
          <w:marBottom w:val="0"/>
          <w:divBdr>
            <w:top w:val="none" w:sz="0" w:space="0" w:color="auto"/>
            <w:left w:val="none" w:sz="0" w:space="0" w:color="auto"/>
            <w:bottom w:val="none" w:sz="0" w:space="0" w:color="auto"/>
            <w:right w:val="none" w:sz="0" w:space="0" w:color="auto"/>
          </w:divBdr>
        </w:div>
        <w:div w:id="532304225">
          <w:marLeft w:val="0"/>
          <w:marRight w:val="0"/>
          <w:marTop w:val="0"/>
          <w:marBottom w:val="0"/>
          <w:divBdr>
            <w:top w:val="none" w:sz="0" w:space="0" w:color="auto"/>
            <w:left w:val="none" w:sz="0" w:space="0" w:color="auto"/>
            <w:bottom w:val="none" w:sz="0" w:space="0" w:color="auto"/>
            <w:right w:val="none" w:sz="0" w:space="0" w:color="auto"/>
          </w:divBdr>
        </w:div>
        <w:div w:id="366370564">
          <w:marLeft w:val="0"/>
          <w:marRight w:val="0"/>
          <w:marTop w:val="0"/>
          <w:marBottom w:val="0"/>
          <w:divBdr>
            <w:top w:val="none" w:sz="0" w:space="0" w:color="auto"/>
            <w:left w:val="none" w:sz="0" w:space="0" w:color="auto"/>
            <w:bottom w:val="none" w:sz="0" w:space="0" w:color="auto"/>
            <w:right w:val="none" w:sz="0" w:space="0" w:color="auto"/>
          </w:divBdr>
        </w:div>
        <w:div w:id="950160894">
          <w:marLeft w:val="0"/>
          <w:marRight w:val="0"/>
          <w:marTop w:val="0"/>
          <w:marBottom w:val="0"/>
          <w:divBdr>
            <w:top w:val="none" w:sz="0" w:space="0" w:color="auto"/>
            <w:left w:val="none" w:sz="0" w:space="0" w:color="auto"/>
            <w:bottom w:val="none" w:sz="0" w:space="0" w:color="auto"/>
            <w:right w:val="none" w:sz="0" w:space="0" w:color="auto"/>
          </w:divBdr>
        </w:div>
        <w:div w:id="542714183">
          <w:marLeft w:val="0"/>
          <w:marRight w:val="0"/>
          <w:marTop w:val="0"/>
          <w:marBottom w:val="0"/>
          <w:divBdr>
            <w:top w:val="none" w:sz="0" w:space="0" w:color="auto"/>
            <w:left w:val="none" w:sz="0" w:space="0" w:color="auto"/>
            <w:bottom w:val="none" w:sz="0" w:space="0" w:color="auto"/>
            <w:right w:val="none" w:sz="0" w:space="0" w:color="auto"/>
          </w:divBdr>
        </w:div>
        <w:div w:id="183784742">
          <w:marLeft w:val="0"/>
          <w:marRight w:val="0"/>
          <w:marTop w:val="0"/>
          <w:marBottom w:val="0"/>
          <w:divBdr>
            <w:top w:val="none" w:sz="0" w:space="0" w:color="auto"/>
            <w:left w:val="none" w:sz="0" w:space="0" w:color="auto"/>
            <w:bottom w:val="none" w:sz="0" w:space="0" w:color="auto"/>
            <w:right w:val="none" w:sz="0" w:space="0" w:color="auto"/>
          </w:divBdr>
        </w:div>
        <w:div w:id="653147812">
          <w:marLeft w:val="0"/>
          <w:marRight w:val="0"/>
          <w:marTop w:val="0"/>
          <w:marBottom w:val="0"/>
          <w:divBdr>
            <w:top w:val="none" w:sz="0" w:space="0" w:color="auto"/>
            <w:left w:val="none" w:sz="0" w:space="0" w:color="auto"/>
            <w:bottom w:val="none" w:sz="0" w:space="0" w:color="auto"/>
            <w:right w:val="none" w:sz="0" w:space="0" w:color="auto"/>
          </w:divBdr>
        </w:div>
        <w:div w:id="955134915">
          <w:marLeft w:val="0"/>
          <w:marRight w:val="0"/>
          <w:marTop w:val="0"/>
          <w:marBottom w:val="0"/>
          <w:divBdr>
            <w:top w:val="none" w:sz="0" w:space="0" w:color="auto"/>
            <w:left w:val="none" w:sz="0" w:space="0" w:color="auto"/>
            <w:bottom w:val="none" w:sz="0" w:space="0" w:color="auto"/>
            <w:right w:val="none" w:sz="0" w:space="0" w:color="auto"/>
          </w:divBdr>
        </w:div>
        <w:div w:id="1712074155">
          <w:marLeft w:val="0"/>
          <w:marRight w:val="0"/>
          <w:marTop w:val="0"/>
          <w:marBottom w:val="0"/>
          <w:divBdr>
            <w:top w:val="none" w:sz="0" w:space="0" w:color="auto"/>
            <w:left w:val="none" w:sz="0" w:space="0" w:color="auto"/>
            <w:bottom w:val="none" w:sz="0" w:space="0" w:color="auto"/>
            <w:right w:val="none" w:sz="0" w:space="0" w:color="auto"/>
          </w:divBdr>
        </w:div>
        <w:div w:id="2092771827">
          <w:marLeft w:val="0"/>
          <w:marRight w:val="0"/>
          <w:marTop w:val="0"/>
          <w:marBottom w:val="0"/>
          <w:divBdr>
            <w:top w:val="none" w:sz="0" w:space="0" w:color="auto"/>
            <w:left w:val="none" w:sz="0" w:space="0" w:color="auto"/>
            <w:bottom w:val="none" w:sz="0" w:space="0" w:color="auto"/>
            <w:right w:val="none" w:sz="0" w:space="0" w:color="auto"/>
          </w:divBdr>
        </w:div>
        <w:div w:id="1905138105">
          <w:marLeft w:val="0"/>
          <w:marRight w:val="0"/>
          <w:marTop w:val="0"/>
          <w:marBottom w:val="0"/>
          <w:divBdr>
            <w:top w:val="none" w:sz="0" w:space="0" w:color="auto"/>
            <w:left w:val="none" w:sz="0" w:space="0" w:color="auto"/>
            <w:bottom w:val="none" w:sz="0" w:space="0" w:color="auto"/>
            <w:right w:val="none" w:sz="0" w:space="0" w:color="auto"/>
          </w:divBdr>
        </w:div>
        <w:div w:id="1526554005">
          <w:marLeft w:val="0"/>
          <w:marRight w:val="0"/>
          <w:marTop w:val="0"/>
          <w:marBottom w:val="0"/>
          <w:divBdr>
            <w:top w:val="none" w:sz="0" w:space="0" w:color="auto"/>
            <w:left w:val="none" w:sz="0" w:space="0" w:color="auto"/>
            <w:bottom w:val="none" w:sz="0" w:space="0" w:color="auto"/>
            <w:right w:val="none" w:sz="0" w:space="0" w:color="auto"/>
          </w:divBdr>
        </w:div>
        <w:div w:id="1223176284">
          <w:marLeft w:val="0"/>
          <w:marRight w:val="0"/>
          <w:marTop w:val="0"/>
          <w:marBottom w:val="0"/>
          <w:divBdr>
            <w:top w:val="none" w:sz="0" w:space="0" w:color="auto"/>
            <w:left w:val="none" w:sz="0" w:space="0" w:color="auto"/>
            <w:bottom w:val="none" w:sz="0" w:space="0" w:color="auto"/>
            <w:right w:val="none" w:sz="0" w:space="0" w:color="auto"/>
          </w:divBdr>
        </w:div>
        <w:div w:id="1613509370">
          <w:marLeft w:val="0"/>
          <w:marRight w:val="0"/>
          <w:marTop w:val="0"/>
          <w:marBottom w:val="0"/>
          <w:divBdr>
            <w:top w:val="none" w:sz="0" w:space="0" w:color="auto"/>
            <w:left w:val="none" w:sz="0" w:space="0" w:color="auto"/>
            <w:bottom w:val="none" w:sz="0" w:space="0" w:color="auto"/>
            <w:right w:val="none" w:sz="0" w:space="0" w:color="auto"/>
          </w:divBdr>
        </w:div>
        <w:div w:id="888496046">
          <w:marLeft w:val="0"/>
          <w:marRight w:val="0"/>
          <w:marTop w:val="0"/>
          <w:marBottom w:val="0"/>
          <w:divBdr>
            <w:top w:val="none" w:sz="0" w:space="0" w:color="auto"/>
            <w:left w:val="none" w:sz="0" w:space="0" w:color="auto"/>
            <w:bottom w:val="none" w:sz="0" w:space="0" w:color="auto"/>
            <w:right w:val="none" w:sz="0" w:space="0" w:color="auto"/>
          </w:divBdr>
        </w:div>
        <w:div w:id="1149398376">
          <w:marLeft w:val="0"/>
          <w:marRight w:val="0"/>
          <w:marTop w:val="0"/>
          <w:marBottom w:val="0"/>
          <w:divBdr>
            <w:top w:val="none" w:sz="0" w:space="0" w:color="auto"/>
            <w:left w:val="none" w:sz="0" w:space="0" w:color="auto"/>
            <w:bottom w:val="none" w:sz="0" w:space="0" w:color="auto"/>
            <w:right w:val="none" w:sz="0" w:space="0" w:color="auto"/>
          </w:divBdr>
        </w:div>
        <w:div w:id="1594818635">
          <w:marLeft w:val="0"/>
          <w:marRight w:val="0"/>
          <w:marTop w:val="0"/>
          <w:marBottom w:val="0"/>
          <w:divBdr>
            <w:top w:val="none" w:sz="0" w:space="0" w:color="auto"/>
            <w:left w:val="none" w:sz="0" w:space="0" w:color="auto"/>
            <w:bottom w:val="none" w:sz="0" w:space="0" w:color="auto"/>
            <w:right w:val="none" w:sz="0" w:space="0" w:color="auto"/>
          </w:divBdr>
        </w:div>
        <w:div w:id="991760891">
          <w:marLeft w:val="0"/>
          <w:marRight w:val="0"/>
          <w:marTop w:val="0"/>
          <w:marBottom w:val="0"/>
          <w:divBdr>
            <w:top w:val="none" w:sz="0" w:space="0" w:color="auto"/>
            <w:left w:val="none" w:sz="0" w:space="0" w:color="auto"/>
            <w:bottom w:val="none" w:sz="0" w:space="0" w:color="auto"/>
            <w:right w:val="none" w:sz="0" w:space="0" w:color="auto"/>
          </w:divBdr>
        </w:div>
        <w:div w:id="1548178411">
          <w:marLeft w:val="0"/>
          <w:marRight w:val="0"/>
          <w:marTop w:val="0"/>
          <w:marBottom w:val="0"/>
          <w:divBdr>
            <w:top w:val="none" w:sz="0" w:space="0" w:color="auto"/>
            <w:left w:val="none" w:sz="0" w:space="0" w:color="auto"/>
            <w:bottom w:val="none" w:sz="0" w:space="0" w:color="auto"/>
            <w:right w:val="none" w:sz="0" w:space="0" w:color="auto"/>
          </w:divBdr>
        </w:div>
        <w:div w:id="273875263">
          <w:marLeft w:val="0"/>
          <w:marRight w:val="0"/>
          <w:marTop w:val="0"/>
          <w:marBottom w:val="0"/>
          <w:divBdr>
            <w:top w:val="none" w:sz="0" w:space="0" w:color="auto"/>
            <w:left w:val="none" w:sz="0" w:space="0" w:color="auto"/>
            <w:bottom w:val="none" w:sz="0" w:space="0" w:color="auto"/>
            <w:right w:val="none" w:sz="0" w:space="0" w:color="auto"/>
          </w:divBdr>
        </w:div>
        <w:div w:id="1288008389">
          <w:marLeft w:val="0"/>
          <w:marRight w:val="0"/>
          <w:marTop w:val="0"/>
          <w:marBottom w:val="0"/>
          <w:divBdr>
            <w:top w:val="none" w:sz="0" w:space="0" w:color="auto"/>
            <w:left w:val="none" w:sz="0" w:space="0" w:color="auto"/>
            <w:bottom w:val="none" w:sz="0" w:space="0" w:color="auto"/>
            <w:right w:val="none" w:sz="0" w:space="0" w:color="auto"/>
          </w:divBdr>
        </w:div>
        <w:div w:id="148333074">
          <w:marLeft w:val="0"/>
          <w:marRight w:val="0"/>
          <w:marTop w:val="0"/>
          <w:marBottom w:val="0"/>
          <w:divBdr>
            <w:top w:val="none" w:sz="0" w:space="0" w:color="auto"/>
            <w:left w:val="none" w:sz="0" w:space="0" w:color="auto"/>
            <w:bottom w:val="none" w:sz="0" w:space="0" w:color="auto"/>
            <w:right w:val="none" w:sz="0" w:space="0" w:color="auto"/>
          </w:divBdr>
        </w:div>
        <w:div w:id="2021196927">
          <w:marLeft w:val="0"/>
          <w:marRight w:val="0"/>
          <w:marTop w:val="0"/>
          <w:marBottom w:val="0"/>
          <w:divBdr>
            <w:top w:val="none" w:sz="0" w:space="0" w:color="auto"/>
            <w:left w:val="none" w:sz="0" w:space="0" w:color="auto"/>
            <w:bottom w:val="none" w:sz="0" w:space="0" w:color="auto"/>
            <w:right w:val="none" w:sz="0" w:space="0" w:color="auto"/>
          </w:divBdr>
        </w:div>
        <w:div w:id="1956985810">
          <w:marLeft w:val="0"/>
          <w:marRight w:val="0"/>
          <w:marTop w:val="0"/>
          <w:marBottom w:val="0"/>
          <w:divBdr>
            <w:top w:val="none" w:sz="0" w:space="0" w:color="auto"/>
            <w:left w:val="none" w:sz="0" w:space="0" w:color="auto"/>
            <w:bottom w:val="none" w:sz="0" w:space="0" w:color="auto"/>
            <w:right w:val="none" w:sz="0" w:space="0" w:color="auto"/>
          </w:divBdr>
        </w:div>
      </w:divsChild>
    </w:div>
    <w:div w:id="2111706255">
      <w:bodyDiv w:val="1"/>
      <w:marLeft w:val="0"/>
      <w:marRight w:val="0"/>
      <w:marTop w:val="0"/>
      <w:marBottom w:val="0"/>
      <w:divBdr>
        <w:top w:val="none" w:sz="0" w:space="0" w:color="auto"/>
        <w:left w:val="none" w:sz="0" w:space="0" w:color="auto"/>
        <w:bottom w:val="none" w:sz="0" w:space="0" w:color="auto"/>
        <w:right w:val="none" w:sz="0" w:space="0" w:color="auto"/>
      </w:divBdr>
    </w:div>
    <w:div w:id="2146383908">
      <w:bodyDiv w:val="1"/>
      <w:marLeft w:val="0"/>
      <w:marRight w:val="0"/>
      <w:marTop w:val="0"/>
      <w:marBottom w:val="0"/>
      <w:divBdr>
        <w:top w:val="none" w:sz="0" w:space="0" w:color="auto"/>
        <w:left w:val="none" w:sz="0" w:space="0" w:color="auto"/>
        <w:bottom w:val="none" w:sz="0" w:space="0" w:color="auto"/>
        <w:right w:val="none" w:sz="0" w:space="0" w:color="auto"/>
      </w:divBdr>
      <w:divsChild>
        <w:div w:id="99876970">
          <w:marLeft w:val="0"/>
          <w:marRight w:val="0"/>
          <w:marTop w:val="0"/>
          <w:marBottom w:val="0"/>
          <w:divBdr>
            <w:top w:val="none" w:sz="0" w:space="0" w:color="auto"/>
            <w:left w:val="none" w:sz="0" w:space="0" w:color="auto"/>
            <w:bottom w:val="none" w:sz="0" w:space="0" w:color="auto"/>
            <w:right w:val="none" w:sz="0" w:space="0" w:color="auto"/>
          </w:divBdr>
        </w:div>
        <w:div w:id="1864124194">
          <w:marLeft w:val="0"/>
          <w:marRight w:val="0"/>
          <w:marTop w:val="0"/>
          <w:marBottom w:val="0"/>
          <w:divBdr>
            <w:top w:val="none" w:sz="0" w:space="0" w:color="auto"/>
            <w:left w:val="none" w:sz="0" w:space="0" w:color="auto"/>
            <w:bottom w:val="none" w:sz="0" w:space="0" w:color="auto"/>
            <w:right w:val="none" w:sz="0" w:space="0" w:color="auto"/>
          </w:divBdr>
        </w:div>
        <w:div w:id="17583967">
          <w:marLeft w:val="0"/>
          <w:marRight w:val="0"/>
          <w:marTop w:val="0"/>
          <w:marBottom w:val="0"/>
          <w:divBdr>
            <w:top w:val="none" w:sz="0" w:space="0" w:color="auto"/>
            <w:left w:val="none" w:sz="0" w:space="0" w:color="auto"/>
            <w:bottom w:val="none" w:sz="0" w:space="0" w:color="auto"/>
            <w:right w:val="none" w:sz="0" w:space="0" w:color="auto"/>
          </w:divBdr>
        </w:div>
        <w:div w:id="255017318">
          <w:marLeft w:val="0"/>
          <w:marRight w:val="0"/>
          <w:marTop w:val="0"/>
          <w:marBottom w:val="0"/>
          <w:divBdr>
            <w:top w:val="none" w:sz="0" w:space="0" w:color="auto"/>
            <w:left w:val="none" w:sz="0" w:space="0" w:color="auto"/>
            <w:bottom w:val="none" w:sz="0" w:space="0" w:color="auto"/>
            <w:right w:val="none" w:sz="0" w:space="0" w:color="auto"/>
          </w:divBdr>
        </w:div>
        <w:div w:id="330261977">
          <w:marLeft w:val="0"/>
          <w:marRight w:val="0"/>
          <w:marTop w:val="0"/>
          <w:marBottom w:val="0"/>
          <w:divBdr>
            <w:top w:val="none" w:sz="0" w:space="0" w:color="auto"/>
            <w:left w:val="none" w:sz="0" w:space="0" w:color="auto"/>
            <w:bottom w:val="none" w:sz="0" w:space="0" w:color="auto"/>
            <w:right w:val="none" w:sz="0" w:space="0" w:color="auto"/>
          </w:divBdr>
        </w:div>
        <w:div w:id="1520702967">
          <w:marLeft w:val="0"/>
          <w:marRight w:val="0"/>
          <w:marTop w:val="0"/>
          <w:marBottom w:val="0"/>
          <w:divBdr>
            <w:top w:val="none" w:sz="0" w:space="0" w:color="auto"/>
            <w:left w:val="none" w:sz="0" w:space="0" w:color="auto"/>
            <w:bottom w:val="none" w:sz="0" w:space="0" w:color="auto"/>
            <w:right w:val="none" w:sz="0" w:space="0" w:color="auto"/>
          </w:divBdr>
        </w:div>
        <w:div w:id="942608371">
          <w:marLeft w:val="0"/>
          <w:marRight w:val="0"/>
          <w:marTop w:val="0"/>
          <w:marBottom w:val="0"/>
          <w:divBdr>
            <w:top w:val="none" w:sz="0" w:space="0" w:color="auto"/>
            <w:left w:val="none" w:sz="0" w:space="0" w:color="auto"/>
            <w:bottom w:val="none" w:sz="0" w:space="0" w:color="auto"/>
            <w:right w:val="none" w:sz="0" w:space="0" w:color="auto"/>
          </w:divBdr>
        </w:div>
        <w:div w:id="1855802170">
          <w:marLeft w:val="0"/>
          <w:marRight w:val="0"/>
          <w:marTop w:val="0"/>
          <w:marBottom w:val="0"/>
          <w:divBdr>
            <w:top w:val="none" w:sz="0" w:space="0" w:color="auto"/>
            <w:left w:val="none" w:sz="0" w:space="0" w:color="auto"/>
            <w:bottom w:val="none" w:sz="0" w:space="0" w:color="auto"/>
            <w:right w:val="none" w:sz="0" w:space="0" w:color="auto"/>
          </w:divBdr>
        </w:div>
        <w:div w:id="500198905">
          <w:marLeft w:val="0"/>
          <w:marRight w:val="0"/>
          <w:marTop w:val="0"/>
          <w:marBottom w:val="0"/>
          <w:divBdr>
            <w:top w:val="none" w:sz="0" w:space="0" w:color="auto"/>
            <w:left w:val="none" w:sz="0" w:space="0" w:color="auto"/>
            <w:bottom w:val="none" w:sz="0" w:space="0" w:color="auto"/>
            <w:right w:val="none" w:sz="0" w:space="0" w:color="auto"/>
          </w:divBdr>
        </w:div>
        <w:div w:id="467748909">
          <w:marLeft w:val="0"/>
          <w:marRight w:val="0"/>
          <w:marTop w:val="0"/>
          <w:marBottom w:val="0"/>
          <w:divBdr>
            <w:top w:val="none" w:sz="0" w:space="0" w:color="auto"/>
            <w:left w:val="none" w:sz="0" w:space="0" w:color="auto"/>
            <w:bottom w:val="none" w:sz="0" w:space="0" w:color="auto"/>
            <w:right w:val="none" w:sz="0" w:space="0" w:color="auto"/>
          </w:divBdr>
        </w:div>
        <w:div w:id="188297430">
          <w:marLeft w:val="0"/>
          <w:marRight w:val="0"/>
          <w:marTop w:val="0"/>
          <w:marBottom w:val="0"/>
          <w:divBdr>
            <w:top w:val="none" w:sz="0" w:space="0" w:color="auto"/>
            <w:left w:val="none" w:sz="0" w:space="0" w:color="auto"/>
            <w:bottom w:val="none" w:sz="0" w:space="0" w:color="auto"/>
            <w:right w:val="none" w:sz="0" w:space="0" w:color="auto"/>
          </w:divBdr>
        </w:div>
        <w:div w:id="686560637">
          <w:marLeft w:val="0"/>
          <w:marRight w:val="0"/>
          <w:marTop w:val="0"/>
          <w:marBottom w:val="0"/>
          <w:divBdr>
            <w:top w:val="none" w:sz="0" w:space="0" w:color="auto"/>
            <w:left w:val="none" w:sz="0" w:space="0" w:color="auto"/>
            <w:bottom w:val="none" w:sz="0" w:space="0" w:color="auto"/>
            <w:right w:val="none" w:sz="0" w:space="0" w:color="auto"/>
          </w:divBdr>
        </w:div>
        <w:div w:id="1580092202">
          <w:marLeft w:val="0"/>
          <w:marRight w:val="0"/>
          <w:marTop w:val="0"/>
          <w:marBottom w:val="0"/>
          <w:divBdr>
            <w:top w:val="none" w:sz="0" w:space="0" w:color="auto"/>
            <w:left w:val="none" w:sz="0" w:space="0" w:color="auto"/>
            <w:bottom w:val="none" w:sz="0" w:space="0" w:color="auto"/>
            <w:right w:val="none" w:sz="0" w:space="0" w:color="auto"/>
          </w:divBdr>
        </w:div>
        <w:div w:id="752549971">
          <w:marLeft w:val="0"/>
          <w:marRight w:val="0"/>
          <w:marTop w:val="0"/>
          <w:marBottom w:val="0"/>
          <w:divBdr>
            <w:top w:val="none" w:sz="0" w:space="0" w:color="auto"/>
            <w:left w:val="none" w:sz="0" w:space="0" w:color="auto"/>
            <w:bottom w:val="none" w:sz="0" w:space="0" w:color="auto"/>
            <w:right w:val="none" w:sz="0" w:space="0" w:color="auto"/>
          </w:divBdr>
        </w:div>
        <w:div w:id="1883596654">
          <w:marLeft w:val="0"/>
          <w:marRight w:val="0"/>
          <w:marTop w:val="0"/>
          <w:marBottom w:val="0"/>
          <w:divBdr>
            <w:top w:val="none" w:sz="0" w:space="0" w:color="auto"/>
            <w:left w:val="none" w:sz="0" w:space="0" w:color="auto"/>
            <w:bottom w:val="none" w:sz="0" w:space="0" w:color="auto"/>
            <w:right w:val="none" w:sz="0" w:space="0" w:color="auto"/>
          </w:divBdr>
        </w:div>
        <w:div w:id="263609717">
          <w:marLeft w:val="0"/>
          <w:marRight w:val="0"/>
          <w:marTop w:val="0"/>
          <w:marBottom w:val="0"/>
          <w:divBdr>
            <w:top w:val="none" w:sz="0" w:space="0" w:color="auto"/>
            <w:left w:val="none" w:sz="0" w:space="0" w:color="auto"/>
            <w:bottom w:val="none" w:sz="0" w:space="0" w:color="auto"/>
            <w:right w:val="none" w:sz="0" w:space="0" w:color="auto"/>
          </w:divBdr>
        </w:div>
        <w:div w:id="1743529994">
          <w:marLeft w:val="0"/>
          <w:marRight w:val="0"/>
          <w:marTop w:val="0"/>
          <w:marBottom w:val="0"/>
          <w:divBdr>
            <w:top w:val="none" w:sz="0" w:space="0" w:color="auto"/>
            <w:left w:val="none" w:sz="0" w:space="0" w:color="auto"/>
            <w:bottom w:val="none" w:sz="0" w:space="0" w:color="auto"/>
            <w:right w:val="none" w:sz="0" w:space="0" w:color="auto"/>
          </w:divBdr>
        </w:div>
        <w:div w:id="628583592">
          <w:marLeft w:val="0"/>
          <w:marRight w:val="0"/>
          <w:marTop w:val="0"/>
          <w:marBottom w:val="0"/>
          <w:divBdr>
            <w:top w:val="none" w:sz="0" w:space="0" w:color="auto"/>
            <w:left w:val="none" w:sz="0" w:space="0" w:color="auto"/>
            <w:bottom w:val="none" w:sz="0" w:space="0" w:color="auto"/>
            <w:right w:val="none" w:sz="0" w:space="0" w:color="auto"/>
          </w:divBdr>
        </w:div>
        <w:div w:id="353191626">
          <w:marLeft w:val="0"/>
          <w:marRight w:val="0"/>
          <w:marTop w:val="0"/>
          <w:marBottom w:val="0"/>
          <w:divBdr>
            <w:top w:val="none" w:sz="0" w:space="0" w:color="auto"/>
            <w:left w:val="none" w:sz="0" w:space="0" w:color="auto"/>
            <w:bottom w:val="none" w:sz="0" w:space="0" w:color="auto"/>
            <w:right w:val="none" w:sz="0" w:space="0" w:color="auto"/>
          </w:divBdr>
        </w:div>
        <w:div w:id="1192958237">
          <w:marLeft w:val="0"/>
          <w:marRight w:val="0"/>
          <w:marTop w:val="0"/>
          <w:marBottom w:val="0"/>
          <w:divBdr>
            <w:top w:val="none" w:sz="0" w:space="0" w:color="auto"/>
            <w:left w:val="none" w:sz="0" w:space="0" w:color="auto"/>
            <w:bottom w:val="none" w:sz="0" w:space="0" w:color="auto"/>
            <w:right w:val="none" w:sz="0" w:space="0" w:color="auto"/>
          </w:divBdr>
        </w:div>
        <w:div w:id="104811229">
          <w:marLeft w:val="0"/>
          <w:marRight w:val="0"/>
          <w:marTop w:val="0"/>
          <w:marBottom w:val="0"/>
          <w:divBdr>
            <w:top w:val="none" w:sz="0" w:space="0" w:color="auto"/>
            <w:left w:val="none" w:sz="0" w:space="0" w:color="auto"/>
            <w:bottom w:val="none" w:sz="0" w:space="0" w:color="auto"/>
            <w:right w:val="none" w:sz="0" w:space="0" w:color="auto"/>
          </w:divBdr>
        </w:div>
        <w:div w:id="199632758">
          <w:marLeft w:val="0"/>
          <w:marRight w:val="0"/>
          <w:marTop w:val="0"/>
          <w:marBottom w:val="0"/>
          <w:divBdr>
            <w:top w:val="none" w:sz="0" w:space="0" w:color="auto"/>
            <w:left w:val="none" w:sz="0" w:space="0" w:color="auto"/>
            <w:bottom w:val="none" w:sz="0" w:space="0" w:color="auto"/>
            <w:right w:val="none" w:sz="0" w:space="0" w:color="auto"/>
          </w:divBdr>
        </w:div>
        <w:div w:id="1567689649">
          <w:marLeft w:val="0"/>
          <w:marRight w:val="0"/>
          <w:marTop w:val="0"/>
          <w:marBottom w:val="0"/>
          <w:divBdr>
            <w:top w:val="none" w:sz="0" w:space="0" w:color="auto"/>
            <w:left w:val="none" w:sz="0" w:space="0" w:color="auto"/>
            <w:bottom w:val="none" w:sz="0" w:space="0" w:color="auto"/>
            <w:right w:val="none" w:sz="0" w:space="0" w:color="auto"/>
          </w:divBdr>
        </w:div>
        <w:div w:id="33279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B0912DF6-1D9A-4F30-A41D-B607F0D6F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37AAC62E-9ED6-4BC9-9E1F-B5CD421F9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7156</Words>
  <Characters>4080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Edita Baltrėnaitė</cp:lastModifiedBy>
  <cp:revision>39</cp:revision>
  <dcterms:created xsi:type="dcterms:W3CDTF">2023-01-12T12:06:00Z</dcterms:created>
  <dcterms:modified xsi:type="dcterms:W3CDTF">2024-12-17T08:21:00Z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5ed1a90c-da7e-403f-bb91-c7c945d528c2</vt:lpwstr>
  </property>
</Properties>
</file>