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E2794" w:rsidRDefault="0080064F" w:rsidP="001E2794">
      <w:pPr>
        <w:pStyle w:val="Title"/>
        <w:keepNext/>
        <w:spacing w:line="252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E2794" w:rsidRDefault="0080064F" w:rsidP="001E2794">
      <w:pPr>
        <w:pStyle w:val="FreeForm"/>
        <w:spacing w:line="25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2F70610C" w:rsidR="0080064F" w:rsidRDefault="0080064F" w:rsidP="00BA79BD">
      <w:pPr>
        <w:pStyle w:val="Heading1"/>
        <w:shd w:val="clear" w:color="auto" w:fill="FFFFFF"/>
        <w:spacing w:before="0" w:line="252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063072" w:rsidRPr="001E279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TRIKOTAŽINIAI GAMINIAI</w:t>
      </w:r>
      <w:r w:rsidR="00BA79BD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” KOMISIJA</w:t>
      </w:r>
    </w:p>
    <w:p w14:paraId="630F4EDB" w14:textId="77777777" w:rsidR="00BA79BD" w:rsidRDefault="00BA79BD" w:rsidP="00BA79BD">
      <w:pPr>
        <w:rPr>
          <w:lang w:val="lt-LT"/>
        </w:rPr>
      </w:pPr>
    </w:p>
    <w:p w14:paraId="0C0225F1" w14:textId="2568C75D" w:rsidR="00BA79BD" w:rsidRPr="00D9536B" w:rsidRDefault="00BA79BD" w:rsidP="009D3A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9D3A23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</w:t>
      </w:r>
      <w:r w:rsidR="009D3A23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2025</w:t>
      </w:r>
      <w:r w:rsidRPr="0080064F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</w:t>
      </w:r>
      <w:r w:rsidR="009D3A2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10-22</w:t>
      </w:r>
      <w:r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Nr. </w:t>
      </w:r>
      <w:r w:rsidR="009D3A2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7088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-1</w:t>
      </w:r>
    </w:p>
    <w:p w14:paraId="5D511E3E" w14:textId="77777777" w:rsidR="00BA79BD" w:rsidRPr="00BA79BD" w:rsidRDefault="00BA79BD" w:rsidP="00BA79BD">
      <w:pPr>
        <w:rPr>
          <w:lang w:val="lt-LT"/>
        </w:rPr>
      </w:pPr>
    </w:p>
    <w:p w14:paraId="4D736A9F" w14:textId="6C96D451" w:rsidR="003C77C7" w:rsidRPr="001E2794" w:rsidRDefault="003C77C7" w:rsidP="001E2794">
      <w:pPr>
        <w:spacing w:after="0" w:line="252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3A525063" w:rsidR="0080064F" w:rsidRPr="00BA79BD" w:rsidRDefault="0080064F" w:rsidP="00BA79BD">
      <w:pPr>
        <w:spacing w:after="0" w:line="252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</w:t>
      </w:r>
      <w:r w:rsidR="00CE3AA8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 m. spalio 9</w:t>
      </w: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CE3AA8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(pirkimo ID 4867739</w:t>
      </w:r>
      <w:r w:rsidR="00315A2D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) </w:t>
      </w:r>
      <w:r w:rsidR="00063072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paskelbė Trikotažinių gaminių</w:t>
      </w:r>
      <w:r w:rsidR="00715B3E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5" w:history="1">
        <w:r w:rsidR="00EB7954" w:rsidRPr="00BA79BD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7D1AA5"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7D6EF514" w14:textId="4097EB42" w:rsidR="0080064F" w:rsidRPr="00BA79BD" w:rsidRDefault="00BA79BD" w:rsidP="00BA79BD">
      <w:pPr>
        <w:tabs>
          <w:tab w:val="left" w:pos="567"/>
        </w:tabs>
        <w:spacing w:after="0" w:line="252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BA79B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Viešojo pirkimo komisija (toliau – Komisija), gavusi konkurso dalyvių klausimus, vadovaudamasi Lietuvos Respublikos viešųjų pirkimų įstatymo 36 straipsnio 5 dalimi ir pirkimo sąlygų 9.3 ir 9.4 punktu atsako į pateiktus klausimus taip:</w:t>
      </w:r>
    </w:p>
    <w:p w14:paraId="6D3EED3E" w14:textId="77777777" w:rsidR="001E2794" w:rsidRPr="00BA79BD" w:rsidRDefault="001E2794" w:rsidP="00BA79BD">
      <w:pPr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77119E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1 k</w:t>
      </w:r>
      <w:r w:rsidRPr="001E2794">
        <w:rPr>
          <w:rFonts w:ascii="Times New Roman" w:hAnsi="Times New Roman" w:cs="Times New Roman"/>
          <w:b/>
          <w:sz w:val="24"/>
          <w:szCs w:val="24"/>
          <w:lang w:val="lt-LT"/>
        </w:rPr>
        <w:t>lausimas</w:t>
      </w:r>
      <w:r w:rsidRPr="001E2794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. </w:t>
      </w:r>
    </w:p>
    <w:p w14:paraId="0DEBB4D7" w14:textId="77777777" w:rsidR="009D3A23" w:rsidRPr="00253B95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253B95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Patikslinkite ar nėra įsivėlusi klaida pirkimo sąlygų 5.11.6.1 ir 5.11.6.2 reikalavimuose: 5.11.6.1 punkte nereikalaujama pateikti nepri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klausomos laboratorijos spalvos</w:t>
      </w:r>
      <w:r w:rsidRPr="00253B95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nusidažymo atsparumo testų ( nors gaminiai analogiški-kepuraitės), o 5.11.6.2 punkte reikalaujama pateikti spalvos nusidažymo atsparumo testus. Ar taip nesukuriamos išskirtinės sąlygos kažkuriam gamintojui? Juk įsigyjant panašius produktus turėtų būti ir panašūs reikalavimai.</w:t>
      </w:r>
    </w:p>
    <w:p w14:paraId="268558CD" w14:textId="77777777" w:rsidR="009D3A23" w:rsidRPr="001E2794" w:rsidRDefault="009D3A23" w:rsidP="009D3A23">
      <w:pPr>
        <w:shd w:val="clear" w:color="auto" w:fill="FFFFFF"/>
        <w:spacing w:after="0" w:line="252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64AC68E4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 a</w:t>
      </w:r>
      <w:r w:rsidRPr="001E279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tsakymas. </w:t>
      </w:r>
    </w:p>
    <w:p w14:paraId="4540EA6A" w14:textId="77777777" w:rsidR="009D3A23" w:rsidRDefault="009D3A23" w:rsidP="009D3A2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45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Informuojame, jog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sąlygų </w:t>
      </w:r>
      <w:r w:rsidRPr="00037A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5.11.6.2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punkte yra reikalaujama pateikti spalvos nusidažymo atsparumo testus, kadangi jie, </w:t>
      </w:r>
      <w:r w:rsidRPr="00C057AA">
        <w:rPr>
          <w:rFonts w:ascii="Times New Roman" w:eastAsia="Times New Roman" w:hAnsi="Times New Roman" w:cs="Times New Roman"/>
          <w:sz w:val="24"/>
          <w:szCs w:val="24"/>
          <w:lang w:val="lt-LT"/>
        </w:rPr>
        <w:t>atsižvelgiant į  sportinės kepuraitės dėvėjimo sąlygas (sportuojant kariai prakaituoja, taip pat kepuraitė po kiekvieno dėvėjimo skalbiama)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C057AA">
        <w:rPr>
          <w:rFonts w:ascii="Times New Roman" w:eastAsia="Times New Roman" w:hAnsi="Times New Roman" w:cs="Times New Roman"/>
          <w:sz w:val="24"/>
          <w:szCs w:val="24"/>
          <w:lang w:val="lt-LT"/>
        </w:rPr>
        <w:t>  sportinei  kepuraitei yra svarbūs.</w:t>
      </w:r>
    </w:p>
    <w:p w14:paraId="666DBA73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 k</w:t>
      </w:r>
      <w:r w:rsidRPr="00B378F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lausimas.</w:t>
      </w:r>
    </w:p>
    <w:p w14:paraId="1A96B4BB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EF7BF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2 pirkimų dalies trikotažinės medžiagos sportinėms kepuraitėms techninės charakteristikos 7 rodiklio bandymų žymuo nurodomas</w:t>
      </w:r>
      <w:r w:rsidRPr="00EF7BF0">
        <w:rPr>
          <w:rFonts w:ascii="Times New Roman" w:hAnsi="Times New Roman" w:cs="Times New Roman"/>
          <w:i/>
          <w:color w:val="00241A"/>
          <w:sz w:val="24"/>
          <w:szCs w:val="24"/>
          <w:lang w:val="lt-LT"/>
        </w:rPr>
        <w:t xml:space="preserve"> </w:t>
      </w:r>
      <w:r w:rsidRPr="00EF7BF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LST EN ISO 20931-1 – tokio standarto nėra, ar turite omenyje Medžiagų tamprumo nustatymą pagal LST EN ISO 20932-1?</w:t>
      </w:r>
    </w:p>
    <w:p w14:paraId="22A03371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76E230CB" w14:textId="77777777" w:rsidR="009D3A23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F7BF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 atsakymas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</w:p>
    <w:p w14:paraId="5E76C52B" w14:textId="77777777" w:rsidR="009D3A23" w:rsidRDefault="009D3A23" w:rsidP="009D3A23">
      <w:pPr>
        <w:shd w:val="clear" w:color="auto" w:fill="FFFFFF"/>
        <w:spacing w:after="0" w:line="252" w:lineRule="auto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0E27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Informuojame, jog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techninėje specifikacijoje padaryta techninė klaida, medžiagų tamprumo nustatymas atliekamas pagal </w:t>
      </w:r>
      <w:r w:rsidRPr="00EF7BF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LST EN ISO 20932-1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0E27F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standartą.</w:t>
      </w:r>
    </w:p>
    <w:p w14:paraId="0D76F258" w14:textId="77777777" w:rsidR="009D3A23" w:rsidRDefault="009D3A23" w:rsidP="009D3A23">
      <w:pPr>
        <w:shd w:val="clear" w:color="auto" w:fill="FFFFFF"/>
        <w:spacing w:after="0" w:line="252" w:lineRule="auto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14:paraId="273BC6C7" w14:textId="77777777" w:rsidR="009D3A23" w:rsidRPr="00FF2A7A" w:rsidRDefault="009D3A23" w:rsidP="009D3A23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6573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3 klausimas</w:t>
      </w:r>
      <w:r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 xml:space="preserve">. </w:t>
      </w:r>
    </w:p>
    <w:p w14:paraId="3B458B99" w14:textId="77777777" w:rsidR="009D3A23" w:rsidRPr="0055721E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Dėl pirkimo sąlygų 8.6 ir 8.7 punkto (3 % technologinės paklaidos ribos ir pasiūlymo atmetimo pagrindo)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14:paraId="7609351C" w14:textId="77777777" w:rsidR="009D3A23" w:rsidRPr="0055721E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Pagal Pirkimo sąlygų 8.6 punktą nustatyta, kad laboratorinių bandymų metu, tikrinant pateikto trikotažo pavyzdžio atitiktį pasiūlyme ir kartu su pasiūlymu pateiktame laboratorinių bandymų protokole nurodytiems rodikliams, leistina technologinė paklaida – 3 %. Jeigu nustatomi blogesni rodikliai, bandymų išlaidas apmoka tiekėjas, o </w:t>
      </w:r>
      <w:r w:rsidRPr="0055721E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  <w:lang w:val="lt-LT"/>
        </w:rPr>
        <w:t>8.7 punkte</w:t>
      </w: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numatyta, kad tokiu atveju, kai nustatomas neatitikimas pasiūlyme nurodytiems ir pirkimo sąlygose nustatytiems reikalavimams, </w:t>
      </w:r>
      <w:r w:rsidRPr="0055721E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  <w:lang w:val="lt-LT"/>
        </w:rPr>
        <w:t>pasiūlymas atmetamas</w:t>
      </w: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14:paraId="5A476CC7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Ši nuostata faktiškai reiškia, kad net ir esant visiškai atitinkančiam techninės specifikacijos reikalavimus trikotažiniam audiniui, pasiūlymas gali būti atmestas vien dėl natūralaus la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boratorinių matavimų nuokrypio.</w:t>
      </w:r>
    </w:p>
    <w:p w14:paraId="01250702" w14:textId="77777777" w:rsidR="009D3A23" w:rsidRPr="0055721E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lastRenderedPageBreak/>
        <w:t>Pavyzdžiui, tiekėjo akredituotos laboratorijos nustatytas oro laidumo rezultatas – 602 mm/s, kai techninės specifikacijos reikalavimas – ≥ 550 mm/s. Jei Perkančiosios organizacijos pasirinkta laboratorija tam pačiam audiniui nustatytų, pavyzdžiui, 580 mm/s, toks skirtumas būtų 3,6 %, t. y. viršytų leidžiamą paklaidą, nors audinys objektyviai visiškai atitiktų techninės specifikacijos reikalavimą.</w:t>
      </w:r>
    </w:p>
    <w:p w14:paraId="048A7CBF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Pagal tekstilės bandymų praktiką ir standartą ISO 9237 „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Textiles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—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Determination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permeability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fabrics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air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“, oro laidumo matavimų rezultatai gali kisti priklausomai nuo:</w:t>
      </w:r>
    </w:p>
    <w:p w14:paraId="4FE05486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6C17734C" w14:textId="77777777" w:rsidR="009D3A23" w:rsidRPr="0055721E" w:rsidRDefault="009D3A23" w:rsidP="009D3A2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bandinio vietos audinio ritinyje (mezgimo įtempimas, struktūros ypatumai),</w:t>
      </w:r>
    </w:p>
    <w:p w14:paraId="5AAF2AA9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0D047F92" w14:textId="77777777" w:rsidR="009D3A23" w:rsidRPr="0055721E" w:rsidRDefault="009D3A23" w:rsidP="009D3A2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mėginio paruošimo (tempimo kryptis, kondicionavimas),</w:t>
      </w:r>
    </w:p>
    <w:p w14:paraId="009EC648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66295B25" w14:textId="77777777" w:rsidR="009D3A23" w:rsidRPr="0055721E" w:rsidRDefault="009D3A23" w:rsidP="009D3A2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laboratorinių sąlygų (temperatūra, drėgmė, slėgio stabilumas),</w:t>
      </w:r>
    </w:p>
    <w:p w14:paraId="5B9A93FA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542BB496" w14:textId="77777777" w:rsidR="009D3A23" w:rsidRPr="0055721E" w:rsidRDefault="009D3A23" w:rsidP="009D3A2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įrangos kalibravimo ir matavimo jautrumo.</w:t>
      </w:r>
    </w:p>
    <w:p w14:paraId="2BBBC55F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5D8F900C" w14:textId="77777777" w:rsidR="009D3A23" w:rsidRPr="0055721E" w:rsidRDefault="009D3A23" w:rsidP="009D3A2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Todėl laboratorinių bandymų metu gauti skirtumai, paprastai siekiantys 3–15 %, yra laikytini natūraliais ir techniškai pagrįstais dėl matavimo neapibrėžtumo ir audinio savybių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variacijos.Fiksuotos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3 % ribos taikymas oro laidumo parametrui yra neproporcingas ir neatitinkantis tarptautinės bandymų praktikos.</w:t>
      </w:r>
    </w:p>
    <w:p w14:paraId="67960196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Siekdamas objektyviai įvertinti šio reikalavimo pagrįstumą, Tiekėjas kreipėsi į kelias akredituotas tekstilės bandymų laboratorijas, kurios, remdamosi savo bandymų duomenų bazėmis ir patirtimi, nurodė, kad oro laidumo (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Air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Permeability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) bandymų variacijos koeficientas (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Coefficient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Variation</w:t>
      </w:r>
      <w:proofErr w:type="spellEnd"/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) įprastai svyruoja nuo 3 % iki 15 %, priklausomai nuo audinio struktūros, tankio, paviršiaus reljefo, mėginio paruošimo sąlygų bei naudojamos įrangos kalibravimo.</w:t>
      </w:r>
    </w:p>
    <w:p w14:paraId="00C7C08C" w14:textId="77777777" w:rsidR="009D3A23" w:rsidRPr="0055721E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Atsižvelgdamas į išdėstytus argumentus, Tiekėjas prašo Perkančiosios organizacijos:</w:t>
      </w:r>
    </w:p>
    <w:p w14:paraId="0A32614D" w14:textId="77777777" w:rsidR="009D3A23" w:rsidRPr="0055721E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Patikslinti Pirkimo sąlygų 8.6 punktą, aiškiai nustatant, kad laboratorinių bandymų rezultatų vertinimas atliekamas pagal atitiktį nustatytiems techninės specifikacijos reikalavimams, o ne pagal tiekėjo pasiūlyme (akredituotos laboratorijos protokole) nurodytų rodiklių procentinį sutapimą;</w:t>
      </w:r>
    </w:p>
    <w:p w14:paraId="49CB816B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Patikslinti Pirkimo sąlygų 8.7 punktą, aiškiai nustatant, kad laboratorinių bandymų rezultatų vertinimas atliekamas pagal atitiktį pirkimo sąlygose nustatytiems reikalavimams, o ne pagal tiekėjo pasiūlyme (akredituotos laboratorijos protokole) nurodytų rodiklių sutapimą.</w:t>
      </w:r>
    </w:p>
    <w:p w14:paraId="1F30BEED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2C194C30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55721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3 atsakymas.</w:t>
      </w:r>
    </w:p>
    <w:p w14:paraId="618C88DB" w14:textId="77777777" w:rsidR="009D3A23" w:rsidRPr="0055721E" w:rsidRDefault="009D3A23" w:rsidP="009D3A23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</w:p>
    <w:p w14:paraId="676B14F8" w14:textId="77777777" w:rsidR="009D3A23" w:rsidRDefault="009D3A23" w:rsidP="009D3A2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95D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Pirkimo sąlygose aiškiai apibrėžta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095D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kad turi būti pateiktas </w:t>
      </w:r>
      <w:r w:rsidRPr="00474D58"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trikotažo gabalas su kuriuo buvo atlikti bandymai</w:t>
      </w:r>
      <w:r w:rsidRPr="00095D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tad 3% paklaida bandiniams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095D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kurie yra iš vieno ir to pati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es gabalo, yra pilnai pakankamas.</w:t>
      </w:r>
      <w:r w:rsidRPr="00095D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Jūsų pateiktas pavyzdys dėl pralaidumo orui yra netinkamas, nes tai įrodo tik trikotažinės medžiagos  nehomogeniškumą,  be to bandymo sąlygos ir bandinių paruošimas yra apibrėžtas standartuose.</w:t>
      </w:r>
    </w:p>
    <w:p w14:paraId="12105F04" w14:textId="77777777" w:rsidR="009D3A23" w:rsidRDefault="009D3A23" w:rsidP="009D3A2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Atkreipiame Jūsų dėmesį, kad bandiniai vežami į laboratoriją tik kilus neaiškumui dėl galimo trikotažo pavyzdžio neatitikimo pasiūlyme nurodytiems rodikliams.</w:t>
      </w:r>
    </w:p>
    <w:p w14:paraId="1919C5AB" w14:textId="77777777" w:rsidR="009D3A23" w:rsidRDefault="009D3A23" w:rsidP="009D3A2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Pirkimo sąlygos keičiamos nebus.</w:t>
      </w:r>
    </w:p>
    <w:p w14:paraId="0CC0E0DB" w14:textId="77777777" w:rsidR="009D3A23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E7ED9B8" w14:textId="77777777" w:rsidR="009D3A23" w:rsidRDefault="009D3A23" w:rsidP="009D3A23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B9767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4 klausimas.</w:t>
      </w:r>
    </w:p>
    <w:p w14:paraId="43734F78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Dėl Sutarties projekto 1.1  ir 6.6 punkto („ne prastesnių techninių savybių kaip nurodyta Sutarties 2 priede“)</w:t>
      </w:r>
    </w:p>
    <w:p w14:paraId="39BC9073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Sutarties 1.1 ir 6.6 punktas numato, kad tiekimo metu trikotažinė medžiaga negali būti „prastesnių techninių savybių kaip nurodyta Sutarties 2 priede (Pasiūlyme)“.</w:t>
      </w:r>
    </w:p>
    <w:p w14:paraId="11FE6E29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Kadangi 2 priede tiekėjas nurodo trikotažo rodiklius pagal laboratorijos protokolą kuris </w:t>
      </w:r>
      <w:proofErr w:type="spellStart"/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pateikiams</w:t>
      </w:r>
      <w:proofErr w:type="spellEnd"/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kartu su pasiūlymu, ši nuostata suponuoja, kad tiekimo metu trikotažas gali būti vertinamas ne pagal techninės specifikacijos reikalavimus, o pagal konkrečius laboratorinius rodiklius, kurie gali skirtis dėl natūralios bandymų paklaidos.</w:t>
      </w:r>
    </w:p>
    <w:p w14:paraId="68D4E153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Tokiu būdu susidaro situacija, kai tiekimo metu prekes būtų galima atmesti, nors jos visiškai atitiktų techninės specifikacijos reikalavimus. Tai neatitinka Viešųjų pirkimų įstatymo 17 straipsnio 1 dalyje įtvirtintų proporcingumo, lygiateisiškumo ir skaidrumo principų, taip pat prieštarauja pačiai Pirkimo logikai, pagal kurią ekonomiškai naudingiausias pasiūlymas nustatomas pagal kainos kriterijų, o ne kokybinius parametrus.</w:t>
      </w:r>
    </w:p>
    <w:p w14:paraId="49D52377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Atsižvelgdamas į išdėstytus argumentus, Tiekėjas prašo Perkančiosios organizacijos:</w:t>
      </w:r>
    </w:p>
    <w:p w14:paraId="10BE5ECE" w14:textId="77777777" w:rsidR="009D3A23" w:rsidRPr="00B97677" w:rsidRDefault="009D3A23" w:rsidP="009D3A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Patikslinti Sutarties projekto 1.1 ir 6.6 punktą, nurodant, kad nuostata „ne prastesnių techninių savybių kaip nurodyta Sutarties 1 priede “ taikoma atsižvelgiant į techninės specifikacijos keliamus reikalavimus, o ne į konkrečius laboratorinio protokolo skaitinius rodiklius.”</w:t>
      </w:r>
    </w:p>
    <w:p w14:paraId="7247BEC1" w14:textId="77777777" w:rsidR="009D3A23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B97677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Toks pirkimo dokumentų aiškinimas užtikrintų objektyvų tiekėjų vertinimą, išvengtų diskriminacijos ir atitiktų VPĮ 17 straipsnio principus.</w:t>
      </w:r>
    </w:p>
    <w:p w14:paraId="456DDB9D" w14:textId="77777777" w:rsidR="009D3A23" w:rsidRPr="00B97677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228EE649" w14:textId="77777777" w:rsidR="009D3A23" w:rsidRPr="00F432FF" w:rsidRDefault="009D3A23" w:rsidP="009D3A23">
      <w:pPr>
        <w:ind w:firstLine="426"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F432FF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4 atsakymas.</w:t>
      </w:r>
    </w:p>
    <w:p w14:paraId="5F254699" w14:textId="77777777" w:rsidR="009D3A23" w:rsidRPr="00A6637F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Teikdamas pasiūlymą, tiekėjas įsivertina kaštus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tame tarpe ir trikotažinės medžiago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 kainą, kuri priklauso ir nuo </w:t>
      </w: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rodiklių.  Jei tiekėjas konkurse dalyvauja su aukštesnės kokybės medžiaga ir pasiūlo didesnę kainą priklausančią nuo kokybės ir nelaimi konkurso, o laimėtojas pasiūlo tokių pačių rodiklių medžiagą mažesne kaina, o produkcijai gaminti naudoja žemesnės kokybės medž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iagą su prastesniais rodikliais</w:t>
      </w: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tai kaip tik ir pažeidžiamas lygiate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isiškumo ir skaidrumo principas ir toks tiekėjo pasiūlymas turi būti atmetamas, jei įrodoma, kad naudojama žemesnės kokybės medžiaga nei pasiūlyta konkurse.</w:t>
      </w: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341251BF" w14:textId="77777777" w:rsidR="009D3A23" w:rsidRPr="00A6637F" w:rsidRDefault="009D3A23" w:rsidP="009D3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66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Pirkimo sąlygos keičiamos nebus.</w:t>
      </w:r>
    </w:p>
    <w:p w14:paraId="3DD6D106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14:paraId="751D9557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623FAC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5 klausimas.</w:t>
      </w:r>
    </w:p>
    <w:p w14:paraId="0AF7135C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Patikslinkite sportinės kepuraitės rodiklius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- pynimą ir pūko tipą: nurodoma,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kad turi būti skersinis dvigubasis. Taip pat nurodoma,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kad kepuraitė pagaminta ir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poliesterinės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trikotažinės su pūku vidinėje pusėje medžiagos. Koks iš tikrųjų turi būti medžiagos tipas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- ar tikrai pynimas be šiaušiamo siūlo, kokio dydžio turi būti pūkas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- ar kaip "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Peach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efektas" - nežymus neaukštas paviršiaus pašiaušimas?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br/>
        <w:t>Taip pat ar gali būti alternatyvus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(</w:t>
      </w:r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lygiavertis) mikrobiologinio testas atliekamas su 3 bakterijomis: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Staphylococcus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aureus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Escherichiacoli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ir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Klebsiella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pneumoniae</w:t>
      </w:r>
      <w:proofErr w:type="spellEnd"/>
      <w:r w:rsidRPr="00623F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?</w:t>
      </w:r>
    </w:p>
    <w:p w14:paraId="43AE6180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</w:p>
    <w:p w14:paraId="13DF445E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2403F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5 atsakymas.</w:t>
      </w:r>
    </w:p>
    <w:p w14:paraId="774E8DF5" w14:textId="77777777" w:rsidR="009D3A23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</w:p>
    <w:p w14:paraId="1BA8D89B" w14:textId="77777777" w:rsidR="009D3A23" w:rsidRPr="00535268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5352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Techninės specifikacijos sportinei kepuraitei 6 punkte nurodoma, kad 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kepuraitė turi būti </w:t>
      </w:r>
      <w:r w:rsidRPr="005352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pagaminta iš </w:t>
      </w:r>
      <w:proofErr w:type="spellStart"/>
      <w:r w:rsidRPr="005352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poliesterinės</w:t>
      </w:r>
      <w:proofErr w:type="spellEnd"/>
      <w:r w:rsidRPr="005352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trikotažinės su pūku vidinėje pusėje medžiagos. Informuojame, 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kad </w:t>
      </w:r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mezgimas turi būti be šiaušiamo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jo</w:t>
      </w:r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siūlo su “</w:t>
      </w:r>
      <w:proofErr w:type="spellStart"/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peach</w:t>
      </w:r>
      <w:proofErr w:type="spellEnd"/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“ efektu, </w:t>
      </w:r>
      <w:proofErr w:type="spellStart"/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t.y</w:t>
      </w:r>
      <w:proofErr w:type="spellEnd"/>
      <w:r w:rsidRPr="009E1C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. nežymus paviršiaus pašiaušimas.</w:t>
      </w:r>
    </w:p>
    <w:p w14:paraId="378A7BAA" w14:textId="77777777" w:rsidR="009D3A23" w:rsidRPr="00535268" w:rsidRDefault="009D3A23" w:rsidP="009D3A2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Informuojame, kad </w:t>
      </w:r>
      <w:r w:rsidRPr="005D4CD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mikrobiologinis testas gali būti atliekamas su 3 kultūrom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is</w:t>
      </w:r>
      <w:r w:rsidRPr="005D4CD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, tik pažymėtina, kad visi bandymai turi būti viename protokole, ir rodiklių reikšmės turi atitikti 1 priede „Techninė specifikacija kepuraitei sportinei“ reikšmes.</w:t>
      </w:r>
    </w:p>
    <w:p w14:paraId="18A0138B" w14:textId="77777777" w:rsidR="00BA79BD" w:rsidRPr="002C6DCA" w:rsidRDefault="00BA79BD" w:rsidP="002C6DCA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14:paraId="6BB72CCF" w14:textId="77777777" w:rsidR="001E2794" w:rsidRPr="001E2794" w:rsidRDefault="001E2794" w:rsidP="00DB063A">
      <w:pPr>
        <w:shd w:val="clear" w:color="auto" w:fill="FFFFFF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8BEBE88" w14:textId="77777777" w:rsidR="00BA79BD" w:rsidRPr="00940BA1" w:rsidRDefault="00BA79BD" w:rsidP="00BA79BD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  <w:r>
        <w:rPr>
          <w:lang w:val="lt-LT" w:eastAsia="lt-LT"/>
        </w:rPr>
        <w:t>Viešojo pirkimo komisija</w:t>
      </w:r>
    </w:p>
    <w:p w14:paraId="5BE3D8E1" w14:textId="0007C74F" w:rsidR="00940BA1" w:rsidRPr="001E2794" w:rsidRDefault="00940BA1" w:rsidP="001E2794">
      <w:pPr>
        <w:pStyle w:val="NormalWeb"/>
        <w:shd w:val="clear" w:color="auto" w:fill="FFFFFF"/>
        <w:spacing w:before="0" w:beforeAutospacing="0" w:after="0" w:afterAutospacing="0" w:line="252" w:lineRule="auto"/>
        <w:ind w:firstLine="425"/>
        <w:contextualSpacing/>
        <w:jc w:val="both"/>
        <w:rPr>
          <w:lang w:val="lt-LT" w:eastAsia="lt-LT"/>
        </w:rPr>
      </w:pPr>
    </w:p>
    <w:sectPr w:rsidR="00940BA1" w:rsidRPr="001E2794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2364CF"/>
    <w:multiLevelType w:val="hybridMultilevel"/>
    <w:tmpl w:val="8948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16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10DF"/>
    <w:rsid w:val="00002642"/>
    <w:rsid w:val="00004371"/>
    <w:rsid w:val="00016B89"/>
    <w:rsid w:val="00021154"/>
    <w:rsid w:val="00031C0D"/>
    <w:rsid w:val="000341B3"/>
    <w:rsid w:val="000346E7"/>
    <w:rsid w:val="00040FE2"/>
    <w:rsid w:val="000432FE"/>
    <w:rsid w:val="000500FB"/>
    <w:rsid w:val="000503C3"/>
    <w:rsid w:val="000561FA"/>
    <w:rsid w:val="00060956"/>
    <w:rsid w:val="00063072"/>
    <w:rsid w:val="00064982"/>
    <w:rsid w:val="00072C72"/>
    <w:rsid w:val="000820F3"/>
    <w:rsid w:val="000852CE"/>
    <w:rsid w:val="00093411"/>
    <w:rsid w:val="00097F1D"/>
    <w:rsid w:val="000C460F"/>
    <w:rsid w:val="000C722C"/>
    <w:rsid w:val="000D4C47"/>
    <w:rsid w:val="000E1D9C"/>
    <w:rsid w:val="000E4320"/>
    <w:rsid w:val="000E46A4"/>
    <w:rsid w:val="000E797E"/>
    <w:rsid w:val="000F0CDE"/>
    <w:rsid w:val="000F16D5"/>
    <w:rsid w:val="000F465A"/>
    <w:rsid w:val="001017F4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2794"/>
    <w:rsid w:val="001E3C2D"/>
    <w:rsid w:val="001F5FCB"/>
    <w:rsid w:val="001F60E3"/>
    <w:rsid w:val="00205A14"/>
    <w:rsid w:val="0021161B"/>
    <w:rsid w:val="00224FAB"/>
    <w:rsid w:val="00226549"/>
    <w:rsid w:val="0023429E"/>
    <w:rsid w:val="00260020"/>
    <w:rsid w:val="00264AEE"/>
    <w:rsid w:val="00273EDF"/>
    <w:rsid w:val="00276232"/>
    <w:rsid w:val="0027787F"/>
    <w:rsid w:val="002822E6"/>
    <w:rsid w:val="002841F7"/>
    <w:rsid w:val="002921B5"/>
    <w:rsid w:val="00296DEF"/>
    <w:rsid w:val="002A6717"/>
    <w:rsid w:val="002B4D7F"/>
    <w:rsid w:val="002C3D44"/>
    <w:rsid w:val="002C6DCA"/>
    <w:rsid w:val="002D549F"/>
    <w:rsid w:val="002D6946"/>
    <w:rsid w:val="002F7917"/>
    <w:rsid w:val="003029BC"/>
    <w:rsid w:val="0031258D"/>
    <w:rsid w:val="00312A9E"/>
    <w:rsid w:val="00315A2D"/>
    <w:rsid w:val="00315F55"/>
    <w:rsid w:val="003167C0"/>
    <w:rsid w:val="00320432"/>
    <w:rsid w:val="00335A81"/>
    <w:rsid w:val="00336A8C"/>
    <w:rsid w:val="00345A2D"/>
    <w:rsid w:val="00346C21"/>
    <w:rsid w:val="0035068F"/>
    <w:rsid w:val="00366C4F"/>
    <w:rsid w:val="00382D97"/>
    <w:rsid w:val="003B3711"/>
    <w:rsid w:val="003B4D1C"/>
    <w:rsid w:val="003C17E4"/>
    <w:rsid w:val="003C44D3"/>
    <w:rsid w:val="003C77C7"/>
    <w:rsid w:val="003D0171"/>
    <w:rsid w:val="003D16A8"/>
    <w:rsid w:val="003D5899"/>
    <w:rsid w:val="004021B1"/>
    <w:rsid w:val="00406218"/>
    <w:rsid w:val="00407E34"/>
    <w:rsid w:val="00412044"/>
    <w:rsid w:val="00422AE2"/>
    <w:rsid w:val="00432B04"/>
    <w:rsid w:val="00434697"/>
    <w:rsid w:val="004365C7"/>
    <w:rsid w:val="004428AA"/>
    <w:rsid w:val="0044526E"/>
    <w:rsid w:val="004457FA"/>
    <w:rsid w:val="004502F3"/>
    <w:rsid w:val="0045044C"/>
    <w:rsid w:val="00453C37"/>
    <w:rsid w:val="00466669"/>
    <w:rsid w:val="00484087"/>
    <w:rsid w:val="00484608"/>
    <w:rsid w:val="00487B51"/>
    <w:rsid w:val="00493E2F"/>
    <w:rsid w:val="00495A41"/>
    <w:rsid w:val="004A3FE4"/>
    <w:rsid w:val="004A57A0"/>
    <w:rsid w:val="004A728D"/>
    <w:rsid w:val="004B5C95"/>
    <w:rsid w:val="004B7426"/>
    <w:rsid w:val="004C040A"/>
    <w:rsid w:val="004C544E"/>
    <w:rsid w:val="004E0A0B"/>
    <w:rsid w:val="004E197D"/>
    <w:rsid w:val="004E1BBB"/>
    <w:rsid w:val="004E3E6F"/>
    <w:rsid w:val="0050159F"/>
    <w:rsid w:val="00503183"/>
    <w:rsid w:val="0051162A"/>
    <w:rsid w:val="00514BA5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6211B"/>
    <w:rsid w:val="00573094"/>
    <w:rsid w:val="00574241"/>
    <w:rsid w:val="00582A3A"/>
    <w:rsid w:val="00585A6A"/>
    <w:rsid w:val="005925F6"/>
    <w:rsid w:val="005957F0"/>
    <w:rsid w:val="005A0862"/>
    <w:rsid w:val="005B2267"/>
    <w:rsid w:val="005B59F1"/>
    <w:rsid w:val="005D4445"/>
    <w:rsid w:val="005D6087"/>
    <w:rsid w:val="005E5D78"/>
    <w:rsid w:val="005F07CF"/>
    <w:rsid w:val="005F5CB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74F"/>
    <w:rsid w:val="00671B67"/>
    <w:rsid w:val="00682069"/>
    <w:rsid w:val="00695482"/>
    <w:rsid w:val="006A4E67"/>
    <w:rsid w:val="006B17E0"/>
    <w:rsid w:val="006C3404"/>
    <w:rsid w:val="006C489E"/>
    <w:rsid w:val="006C5958"/>
    <w:rsid w:val="006C7369"/>
    <w:rsid w:val="006C75AB"/>
    <w:rsid w:val="006E0513"/>
    <w:rsid w:val="006E2ED4"/>
    <w:rsid w:val="0070528C"/>
    <w:rsid w:val="0071179F"/>
    <w:rsid w:val="00712D32"/>
    <w:rsid w:val="00715B3E"/>
    <w:rsid w:val="00721AD9"/>
    <w:rsid w:val="00724FC9"/>
    <w:rsid w:val="00730EB2"/>
    <w:rsid w:val="0074577B"/>
    <w:rsid w:val="0075284F"/>
    <w:rsid w:val="007A0389"/>
    <w:rsid w:val="007A0CC7"/>
    <w:rsid w:val="007A3927"/>
    <w:rsid w:val="007D1AA5"/>
    <w:rsid w:val="007D383F"/>
    <w:rsid w:val="007D6C15"/>
    <w:rsid w:val="007E6A31"/>
    <w:rsid w:val="0080064F"/>
    <w:rsid w:val="00803084"/>
    <w:rsid w:val="0082052C"/>
    <w:rsid w:val="008277FE"/>
    <w:rsid w:val="00832915"/>
    <w:rsid w:val="00851AF9"/>
    <w:rsid w:val="00854DDD"/>
    <w:rsid w:val="008564C7"/>
    <w:rsid w:val="008716FF"/>
    <w:rsid w:val="00872DD7"/>
    <w:rsid w:val="00877021"/>
    <w:rsid w:val="0089196F"/>
    <w:rsid w:val="008A636C"/>
    <w:rsid w:val="008B25AF"/>
    <w:rsid w:val="008C3F10"/>
    <w:rsid w:val="008C4598"/>
    <w:rsid w:val="008D1BB0"/>
    <w:rsid w:val="008D6518"/>
    <w:rsid w:val="0090142E"/>
    <w:rsid w:val="00902565"/>
    <w:rsid w:val="009065B5"/>
    <w:rsid w:val="00910C0F"/>
    <w:rsid w:val="0093675D"/>
    <w:rsid w:val="00940BA1"/>
    <w:rsid w:val="00951028"/>
    <w:rsid w:val="0097473C"/>
    <w:rsid w:val="00986AF0"/>
    <w:rsid w:val="00990CE9"/>
    <w:rsid w:val="00997889"/>
    <w:rsid w:val="009A74FF"/>
    <w:rsid w:val="009B25E3"/>
    <w:rsid w:val="009B3B22"/>
    <w:rsid w:val="009B3E85"/>
    <w:rsid w:val="009B7F93"/>
    <w:rsid w:val="009C412E"/>
    <w:rsid w:val="009C6D29"/>
    <w:rsid w:val="009D3A23"/>
    <w:rsid w:val="009D6E43"/>
    <w:rsid w:val="009E592D"/>
    <w:rsid w:val="009F2588"/>
    <w:rsid w:val="00A049EC"/>
    <w:rsid w:val="00A12C90"/>
    <w:rsid w:val="00A1302E"/>
    <w:rsid w:val="00A21FD9"/>
    <w:rsid w:val="00A25BA6"/>
    <w:rsid w:val="00A27250"/>
    <w:rsid w:val="00A43077"/>
    <w:rsid w:val="00A56456"/>
    <w:rsid w:val="00A709C7"/>
    <w:rsid w:val="00A819D6"/>
    <w:rsid w:val="00A86095"/>
    <w:rsid w:val="00A8711A"/>
    <w:rsid w:val="00A876FA"/>
    <w:rsid w:val="00AB1BEE"/>
    <w:rsid w:val="00AB3B45"/>
    <w:rsid w:val="00AC62B5"/>
    <w:rsid w:val="00AD648E"/>
    <w:rsid w:val="00AD7A1E"/>
    <w:rsid w:val="00AF180B"/>
    <w:rsid w:val="00B03EDC"/>
    <w:rsid w:val="00B048FB"/>
    <w:rsid w:val="00B06E81"/>
    <w:rsid w:val="00B16765"/>
    <w:rsid w:val="00B25DC1"/>
    <w:rsid w:val="00B25F54"/>
    <w:rsid w:val="00B56A3D"/>
    <w:rsid w:val="00B70867"/>
    <w:rsid w:val="00B74798"/>
    <w:rsid w:val="00B81C63"/>
    <w:rsid w:val="00B93520"/>
    <w:rsid w:val="00B97732"/>
    <w:rsid w:val="00BA3DC7"/>
    <w:rsid w:val="00BA79BD"/>
    <w:rsid w:val="00BB4489"/>
    <w:rsid w:val="00BB6E9E"/>
    <w:rsid w:val="00BC39B1"/>
    <w:rsid w:val="00BD40A4"/>
    <w:rsid w:val="00BD5238"/>
    <w:rsid w:val="00BE2040"/>
    <w:rsid w:val="00BE2C43"/>
    <w:rsid w:val="00BE3BEB"/>
    <w:rsid w:val="00BF5D4D"/>
    <w:rsid w:val="00C00692"/>
    <w:rsid w:val="00C20600"/>
    <w:rsid w:val="00C221DC"/>
    <w:rsid w:val="00C33779"/>
    <w:rsid w:val="00C3450B"/>
    <w:rsid w:val="00C34597"/>
    <w:rsid w:val="00C47F6C"/>
    <w:rsid w:val="00C52546"/>
    <w:rsid w:val="00C52A13"/>
    <w:rsid w:val="00C75E7E"/>
    <w:rsid w:val="00C76B9B"/>
    <w:rsid w:val="00C823B5"/>
    <w:rsid w:val="00CC2FC3"/>
    <w:rsid w:val="00CD1A52"/>
    <w:rsid w:val="00CD7EF1"/>
    <w:rsid w:val="00CE19FA"/>
    <w:rsid w:val="00CE3AA8"/>
    <w:rsid w:val="00CE4F2F"/>
    <w:rsid w:val="00CF5F01"/>
    <w:rsid w:val="00CF5FEE"/>
    <w:rsid w:val="00D1316E"/>
    <w:rsid w:val="00D17329"/>
    <w:rsid w:val="00D2140D"/>
    <w:rsid w:val="00D27196"/>
    <w:rsid w:val="00D32FF2"/>
    <w:rsid w:val="00D40C9F"/>
    <w:rsid w:val="00D70C68"/>
    <w:rsid w:val="00D747C6"/>
    <w:rsid w:val="00D8099B"/>
    <w:rsid w:val="00DB063A"/>
    <w:rsid w:val="00DB4141"/>
    <w:rsid w:val="00DB58FE"/>
    <w:rsid w:val="00DC2341"/>
    <w:rsid w:val="00DC2945"/>
    <w:rsid w:val="00DC66BE"/>
    <w:rsid w:val="00DD298F"/>
    <w:rsid w:val="00DD36B6"/>
    <w:rsid w:val="00DE0771"/>
    <w:rsid w:val="00DE0E46"/>
    <w:rsid w:val="00DF7244"/>
    <w:rsid w:val="00DF7F26"/>
    <w:rsid w:val="00E113DD"/>
    <w:rsid w:val="00E11B7C"/>
    <w:rsid w:val="00E379FC"/>
    <w:rsid w:val="00E52FD1"/>
    <w:rsid w:val="00E66766"/>
    <w:rsid w:val="00E73100"/>
    <w:rsid w:val="00E74470"/>
    <w:rsid w:val="00E75142"/>
    <w:rsid w:val="00E80519"/>
    <w:rsid w:val="00E97220"/>
    <w:rsid w:val="00EA5CE8"/>
    <w:rsid w:val="00EA67B6"/>
    <w:rsid w:val="00EA7BD5"/>
    <w:rsid w:val="00EB7954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5763"/>
    <w:rsid w:val="00F31AAA"/>
    <w:rsid w:val="00F4068A"/>
    <w:rsid w:val="00F51642"/>
    <w:rsid w:val="00F75C5D"/>
    <w:rsid w:val="00F80CEA"/>
    <w:rsid w:val="00F81551"/>
    <w:rsid w:val="00F92903"/>
    <w:rsid w:val="00FA2123"/>
    <w:rsid w:val="00FA4A83"/>
    <w:rsid w:val="00FC2133"/>
    <w:rsid w:val="00FC65C6"/>
    <w:rsid w:val="00FE0A31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1AD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VIEŠOJO PIRKIMO „TRIKOTAŽINIAI GAMINIAI” KOMISIJA</vt:lpstr>
      <vt:lpstr/>
      <vt:lpstr>Gynybos resursų agentūra prie Krašto apsaugos ministerijos (toliau – perkančioji</vt:lpstr>
      <vt:lpstr>Viešojo pirkimo komisija (toliau – Komisija), gavusi konkurso dalyvių klausimus,</vt:lpstr>
    </vt:vector>
  </TitlesOfParts>
  <Company>ITT prie KAM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2022-10-03T11:39:00Z</cp:lastPrinted>
  <dcterms:created xsi:type="dcterms:W3CDTF">2025-10-22T12:04:00Z</dcterms:created>
  <dcterms:modified xsi:type="dcterms:W3CDTF">2025-10-22T12:06:00Z</dcterms:modified>
</cp:coreProperties>
</file>