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8DD4" w14:textId="29024F1F" w:rsidR="00F704BE" w:rsidRPr="00F704BE" w:rsidRDefault="00F704BE" w:rsidP="00F704BE">
      <w:pPr>
        <w:spacing w:after="0" w:line="240" w:lineRule="auto"/>
        <w:jc w:val="both"/>
        <w:rPr>
          <w:rFonts w:ascii="Times New Roman" w:eastAsia="Calibri" w:hAnsi="Times New Roman" w:cs="Times New Roman"/>
          <w:kern w:val="0"/>
          <w:szCs w:val="22"/>
          <w14:ligatures w14:val="none"/>
        </w:rPr>
      </w:pPr>
    </w:p>
    <w:p w14:paraId="0F05F694" w14:textId="17D6DDA9" w:rsidR="00F704BE" w:rsidRPr="00A16C05"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r w:rsidRPr="00A16C05">
        <w:rPr>
          <w:rFonts w:ascii="Times New Roman" w:eastAsia="Times New Roman" w:hAnsi="Times New Roman" w:cs="Times New Roman"/>
          <w:b/>
          <w:bCs/>
          <w:kern w:val="0"/>
          <w:lang w:eastAsia="lt-LT"/>
          <w14:ligatures w14:val="none"/>
        </w:rPr>
        <w:t>ALYTAUS RAJONO SAVIVALDYBĖS ADMINISTRACIJA</w:t>
      </w:r>
    </w:p>
    <w:p w14:paraId="72D14947" w14:textId="77777777" w:rsidR="00F704BE" w:rsidRPr="00A16C05"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F704BE" w:rsidRPr="00F704BE" w14:paraId="5C8B9DC2" w14:textId="77777777" w:rsidTr="009D2193">
        <w:trPr>
          <w:cantSplit/>
        </w:trPr>
        <w:tc>
          <w:tcPr>
            <w:tcW w:w="4536" w:type="dxa"/>
            <w:hideMark/>
          </w:tcPr>
          <w:p w14:paraId="61F52DDD" w14:textId="77777777" w:rsidR="00F704BE" w:rsidRPr="00A16C05" w:rsidRDefault="00F704BE" w:rsidP="00F704BE">
            <w:pPr>
              <w:spacing w:after="0" w:line="256" w:lineRule="auto"/>
              <w:ind w:left="-113" w:right="-113"/>
              <w:rPr>
                <w:rFonts w:ascii="Times New Roman" w:eastAsia="Times New Roman" w:hAnsi="Times New Roman" w:cs="Times New Roman"/>
                <w:kern w:val="0"/>
                <w:lang w:eastAsia="lt-LT"/>
                <w14:ligatures w14:val="none"/>
              </w:rPr>
            </w:pPr>
            <w:r w:rsidRPr="00A16C05">
              <w:rPr>
                <w:rFonts w:ascii="Times New Roman" w:eastAsia="Times New Roman" w:hAnsi="Times New Roman" w:cs="Times New Roman"/>
                <w:kern w:val="0"/>
                <w:lang w:eastAsia="lt-LT"/>
                <w14:ligatures w14:val="none"/>
              </w:rPr>
              <w:t>Tiekėjams</w:t>
            </w:r>
          </w:p>
        </w:tc>
        <w:tc>
          <w:tcPr>
            <w:tcW w:w="600" w:type="dxa"/>
          </w:tcPr>
          <w:p w14:paraId="15ED67E8" w14:textId="77777777" w:rsidR="00F704BE" w:rsidRPr="00A16C05"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4FB7E2FB" w14:textId="05F29D53" w:rsidR="00F704BE" w:rsidRPr="00F704BE" w:rsidRDefault="00F704BE" w:rsidP="00F704BE">
            <w:pPr>
              <w:spacing w:after="0" w:line="256" w:lineRule="auto"/>
              <w:ind w:left="-1102"/>
              <w:rPr>
                <w:rFonts w:ascii="Times New Roman" w:eastAsia="Times New Roman" w:hAnsi="Times New Roman" w:cs="Times New Roman"/>
                <w:kern w:val="0"/>
                <w:szCs w:val="20"/>
                <w:lang w:eastAsia="lt-LT"/>
                <w14:ligatures w14:val="none"/>
              </w:rPr>
            </w:pPr>
            <w:r w:rsidRPr="00A16C05">
              <w:rPr>
                <w:rFonts w:ascii="Times New Roman" w:eastAsia="Times New Roman" w:hAnsi="Times New Roman" w:cs="Times New Roman"/>
                <w:kern w:val="0"/>
                <w:szCs w:val="20"/>
                <w:lang w:eastAsia="lt-LT"/>
                <w14:ligatures w14:val="none"/>
              </w:rPr>
              <w:t xml:space="preserve">                                                      2025-10-</w:t>
            </w:r>
            <w:r w:rsidR="00003A4F">
              <w:rPr>
                <w:rFonts w:ascii="Times New Roman" w:eastAsia="Times New Roman" w:hAnsi="Times New Roman" w:cs="Times New Roman"/>
                <w:kern w:val="0"/>
                <w:szCs w:val="20"/>
                <w:lang w:eastAsia="lt-LT"/>
                <w14:ligatures w14:val="none"/>
              </w:rPr>
              <w:t>22</w:t>
            </w:r>
            <w:r w:rsidRPr="00F704BE">
              <w:rPr>
                <w:rFonts w:ascii="Times New Roman" w:eastAsia="Times New Roman" w:hAnsi="Times New Roman" w:cs="Times New Roman"/>
                <w:kern w:val="0"/>
                <w:szCs w:val="20"/>
                <w:lang w:eastAsia="lt-LT"/>
                <w14:ligatures w14:val="none"/>
              </w:rPr>
              <w:t xml:space="preserve">                </w:t>
            </w:r>
          </w:p>
        </w:tc>
      </w:tr>
      <w:tr w:rsidR="00F704BE" w:rsidRPr="00F704BE" w14:paraId="70310332" w14:textId="77777777" w:rsidTr="009D2193">
        <w:trPr>
          <w:cantSplit/>
        </w:trPr>
        <w:tc>
          <w:tcPr>
            <w:tcW w:w="4536" w:type="dxa"/>
          </w:tcPr>
          <w:p w14:paraId="73300EDD"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5B72A00"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ED30344" w14:textId="77777777" w:rsidR="00F704BE" w:rsidRPr="00F704BE" w:rsidRDefault="00F704BE" w:rsidP="00F704BE">
            <w:pPr>
              <w:spacing w:after="0" w:line="256" w:lineRule="auto"/>
              <w:ind w:left="1" w:hanging="1"/>
              <w:rPr>
                <w:rFonts w:ascii="Times New Roman" w:eastAsia="Times New Roman" w:hAnsi="Times New Roman" w:cs="Times New Roman"/>
                <w:kern w:val="0"/>
                <w:szCs w:val="20"/>
                <w:lang w:eastAsia="lt-LT"/>
                <w14:ligatures w14:val="none"/>
              </w:rPr>
            </w:pPr>
          </w:p>
        </w:tc>
      </w:tr>
      <w:tr w:rsidR="00F704BE" w:rsidRPr="00F704BE" w14:paraId="6DA14FA0" w14:textId="77777777" w:rsidTr="009D2193">
        <w:trPr>
          <w:cantSplit/>
        </w:trPr>
        <w:tc>
          <w:tcPr>
            <w:tcW w:w="4536" w:type="dxa"/>
          </w:tcPr>
          <w:p w14:paraId="2354778C" w14:textId="77777777" w:rsidR="00F704BE" w:rsidRPr="00F704BE" w:rsidRDefault="00F704BE" w:rsidP="00F704BE">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7A7AFC5D"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B307910"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3C3B2CA8" w14:textId="77777777" w:rsidTr="009D2193">
        <w:trPr>
          <w:cantSplit/>
        </w:trPr>
        <w:tc>
          <w:tcPr>
            <w:tcW w:w="4536" w:type="dxa"/>
          </w:tcPr>
          <w:p w14:paraId="60788DC8"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0BE417C9"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8714399"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6C8BC2E5" w14:textId="77777777" w:rsidTr="009D2193">
        <w:trPr>
          <w:cantSplit/>
        </w:trPr>
        <w:tc>
          <w:tcPr>
            <w:tcW w:w="9248" w:type="dxa"/>
            <w:gridSpan w:val="3"/>
            <w:hideMark/>
          </w:tcPr>
          <w:p w14:paraId="452D0E56" w14:textId="0BA34F30" w:rsidR="00F704BE" w:rsidRPr="00F704BE" w:rsidRDefault="00F704BE" w:rsidP="00F704BE">
            <w:pPr>
              <w:spacing w:after="0" w:line="256" w:lineRule="auto"/>
              <w:ind w:left="-113"/>
              <w:rPr>
                <w:rFonts w:ascii="Times New Roman" w:eastAsia="Times New Roman" w:hAnsi="Times New Roman" w:cs="Times New Roman"/>
                <w:b/>
                <w:kern w:val="0"/>
                <w:szCs w:val="20"/>
                <w:lang w:eastAsia="lt-LT"/>
                <w14:ligatures w14:val="none"/>
              </w:rPr>
            </w:pPr>
            <w:r w:rsidRPr="00F704BE">
              <w:rPr>
                <w:rFonts w:ascii="Times New Roman" w:eastAsia="Times New Roman" w:hAnsi="Times New Roman" w:cs="Times New Roman"/>
                <w:b/>
                <w:kern w:val="0"/>
                <w:szCs w:val="20"/>
                <w:lang w:eastAsia="lt-LT"/>
                <w14:ligatures w14:val="none"/>
              </w:rPr>
              <w:t>DĖL ATSAKYMŲ Į TIEKĖJŲ KLAUSIMUS</w:t>
            </w:r>
            <w:r w:rsidR="00F95A70">
              <w:rPr>
                <w:rFonts w:ascii="Times New Roman" w:eastAsia="Times New Roman" w:hAnsi="Times New Roman" w:cs="Times New Roman"/>
                <w:b/>
                <w:kern w:val="0"/>
                <w:szCs w:val="20"/>
                <w:lang w:eastAsia="lt-LT"/>
                <w14:ligatures w14:val="none"/>
              </w:rPr>
              <w:t xml:space="preserve"> IR PASIŪLYMŲ PATEIKIMO TERMINO NUKĖLIMO</w:t>
            </w:r>
          </w:p>
        </w:tc>
      </w:tr>
      <w:tr w:rsidR="00F704BE" w:rsidRPr="00F704BE" w14:paraId="4767F80F" w14:textId="77777777" w:rsidTr="009D2193">
        <w:trPr>
          <w:cantSplit/>
        </w:trPr>
        <w:tc>
          <w:tcPr>
            <w:tcW w:w="4536" w:type="dxa"/>
          </w:tcPr>
          <w:p w14:paraId="48C0BA3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p w14:paraId="24B57121"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5FC1D6F4"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A6031E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r>
    </w:tbl>
    <w:p w14:paraId="5D368A05" w14:textId="77777777" w:rsidR="00132511" w:rsidRDefault="00F704BE" w:rsidP="00950644">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F704BE">
        <w:rPr>
          <w:rFonts w:ascii="Times New Roman" w:eastAsia="Calibri" w:hAnsi="Times New Roman" w:cs="Times New Roman"/>
          <w:kern w:val="0"/>
          <w:szCs w:val="22"/>
          <w14:ligatures w14:val="none"/>
        </w:rPr>
        <w:t>Pranešame, kad Centrinės viešųjų pirkimų informacinės sistemos susirašinėjimo priemonėmis gaut</w:t>
      </w:r>
      <w:r>
        <w:rPr>
          <w:rFonts w:ascii="Times New Roman" w:eastAsia="Calibri" w:hAnsi="Times New Roman" w:cs="Times New Roman"/>
          <w:kern w:val="0"/>
          <w:szCs w:val="22"/>
          <w14:ligatures w14:val="none"/>
        </w:rPr>
        <w:t>as</w:t>
      </w:r>
      <w:r w:rsidRPr="00F704BE">
        <w:rPr>
          <w:rFonts w:ascii="Times New Roman" w:eastAsia="Calibri" w:hAnsi="Times New Roman" w:cs="Times New Roman"/>
          <w:kern w:val="0"/>
          <w:szCs w:val="22"/>
          <w14:ligatures w14:val="none"/>
        </w:rPr>
        <w:t xml:space="preserve"> tiekėj</w:t>
      </w:r>
      <w:r>
        <w:rPr>
          <w:rFonts w:ascii="Times New Roman" w:eastAsia="Calibri" w:hAnsi="Times New Roman" w:cs="Times New Roman"/>
          <w:kern w:val="0"/>
          <w:szCs w:val="22"/>
          <w14:ligatures w14:val="none"/>
        </w:rPr>
        <w:t>o</w:t>
      </w:r>
      <w:r w:rsidRPr="00F704BE">
        <w:rPr>
          <w:rFonts w:ascii="Times New Roman" w:eastAsia="Calibri" w:hAnsi="Times New Roman" w:cs="Times New Roman"/>
          <w:kern w:val="0"/>
          <w:szCs w:val="22"/>
          <w14:ligatures w14:val="none"/>
        </w:rPr>
        <w:t xml:space="preserve"> paklausima</w:t>
      </w:r>
      <w:r>
        <w:rPr>
          <w:rFonts w:ascii="Times New Roman" w:eastAsia="Calibri" w:hAnsi="Times New Roman" w:cs="Times New Roman"/>
          <w:kern w:val="0"/>
          <w:szCs w:val="22"/>
          <w14:ligatures w14:val="none"/>
        </w:rPr>
        <w:t>s</w:t>
      </w:r>
      <w:r w:rsidRPr="00F704BE">
        <w:rPr>
          <w:rFonts w:ascii="Times New Roman" w:eastAsia="Calibri" w:hAnsi="Times New Roman" w:cs="Times New Roman"/>
          <w:kern w:val="0"/>
          <w:szCs w:val="22"/>
          <w14:ligatures w14:val="none"/>
        </w:rPr>
        <w:t>.</w:t>
      </w:r>
      <w:bookmarkStart w:id="1" w:name="_Hlk160607784"/>
    </w:p>
    <w:p w14:paraId="0128D8C3" w14:textId="35837F57" w:rsidR="00F704BE" w:rsidRPr="00950644" w:rsidRDefault="00F704BE" w:rsidP="00950644">
      <w:pPr>
        <w:spacing w:after="0" w:line="240" w:lineRule="auto"/>
        <w:ind w:firstLine="993"/>
        <w:jc w:val="both"/>
        <w:rPr>
          <w:rFonts w:ascii="Times New Roman" w:eastAsia="Calibri" w:hAnsi="Times New Roman" w:cs="Times New Roman"/>
          <w:kern w:val="0"/>
          <w:szCs w:val="22"/>
          <w14:ligatures w14:val="none"/>
        </w:rPr>
      </w:pPr>
      <w:r w:rsidRPr="00950644">
        <w:rPr>
          <w:rFonts w:ascii="Times New Roman" w:eastAsia="Times New Roman" w:hAnsi="Times New Roman" w:cs="Times New Roman"/>
          <w:b/>
          <w:kern w:val="0"/>
          <w:lang w:eastAsia="lt-LT"/>
          <w14:ligatures w14:val="none"/>
        </w:rPr>
        <w:t>Klausima</w:t>
      </w:r>
      <w:r w:rsidR="003716FE" w:rsidRPr="00950644">
        <w:rPr>
          <w:rFonts w:ascii="Times New Roman" w:eastAsia="Times New Roman" w:hAnsi="Times New Roman" w:cs="Times New Roman"/>
          <w:b/>
          <w:kern w:val="0"/>
          <w:lang w:eastAsia="lt-LT"/>
          <w14:ligatures w14:val="none"/>
        </w:rPr>
        <w:t>s</w:t>
      </w:r>
      <w:r w:rsidRPr="00950644">
        <w:rPr>
          <w:rFonts w:ascii="Times New Roman" w:eastAsia="Times New Roman" w:hAnsi="Times New Roman" w:cs="Times New Roman"/>
          <w:b/>
          <w:kern w:val="0"/>
          <w:lang w:eastAsia="lt-LT"/>
          <w14:ligatures w14:val="none"/>
        </w:rPr>
        <w:t xml:space="preserve"> (2025-</w:t>
      </w:r>
      <w:r w:rsidR="007B618A">
        <w:rPr>
          <w:rFonts w:ascii="Times New Roman" w:eastAsia="Times New Roman" w:hAnsi="Times New Roman" w:cs="Times New Roman"/>
          <w:b/>
          <w:kern w:val="0"/>
          <w:lang w:eastAsia="lt-LT"/>
          <w14:ligatures w14:val="none"/>
        </w:rPr>
        <w:t>09</w:t>
      </w:r>
      <w:r w:rsidRPr="00950644">
        <w:rPr>
          <w:rFonts w:ascii="Times New Roman" w:eastAsia="Times New Roman" w:hAnsi="Times New Roman" w:cs="Times New Roman"/>
          <w:b/>
          <w:kern w:val="0"/>
          <w:lang w:eastAsia="lt-LT"/>
          <w14:ligatures w14:val="none"/>
        </w:rPr>
        <w:t>-</w:t>
      </w:r>
      <w:r w:rsidR="007B618A">
        <w:rPr>
          <w:rFonts w:ascii="Times New Roman" w:eastAsia="Times New Roman" w:hAnsi="Times New Roman" w:cs="Times New Roman"/>
          <w:b/>
          <w:kern w:val="0"/>
          <w:lang w:eastAsia="lt-LT"/>
          <w14:ligatures w14:val="none"/>
        </w:rPr>
        <w:t>26</w:t>
      </w:r>
      <w:r w:rsidRPr="00950644">
        <w:rPr>
          <w:rFonts w:ascii="Times New Roman" w:eastAsia="Times New Roman" w:hAnsi="Times New Roman" w:cs="Times New Roman"/>
          <w:b/>
          <w:kern w:val="0"/>
          <w:lang w:eastAsia="lt-LT"/>
          <w14:ligatures w14:val="none"/>
        </w:rPr>
        <w:t xml:space="preserve"> pranešimas Nr. </w:t>
      </w:r>
      <w:r w:rsidR="007B618A" w:rsidRPr="007B618A">
        <w:rPr>
          <w:rFonts w:ascii="Times New Roman" w:eastAsia="Times New Roman" w:hAnsi="Times New Roman" w:cs="Times New Roman"/>
          <w:b/>
          <w:kern w:val="0"/>
          <w:lang w:eastAsia="lt-LT"/>
          <w14:ligatures w14:val="none"/>
        </w:rPr>
        <w:t>371077</w:t>
      </w:r>
      <w:r w:rsidRPr="00950644">
        <w:rPr>
          <w:rFonts w:ascii="Times New Roman" w:eastAsia="Times New Roman" w:hAnsi="Times New Roman" w:cs="Times New Roman"/>
          <w:b/>
          <w:kern w:val="0"/>
          <w:lang w:eastAsia="lt-LT"/>
          <w14:ligatures w14:val="none"/>
        </w:rPr>
        <w:t>)</w:t>
      </w:r>
      <w:r w:rsidRPr="00950644">
        <w:rPr>
          <w:rFonts w:ascii="Times New Roman" w:eastAsia="Times New Roman" w:hAnsi="Times New Roman" w:cs="Times New Roman"/>
          <w:bCs/>
          <w:kern w:val="0"/>
          <w:lang w:eastAsia="lt-LT"/>
          <w14:ligatures w14:val="none"/>
        </w:rPr>
        <w:t>:</w:t>
      </w:r>
      <w:bookmarkEnd w:id="1"/>
    </w:p>
    <w:p w14:paraId="014D3B42" w14:textId="77777777" w:rsidR="007B618A" w:rsidRPr="007B618A" w:rsidRDefault="003716FE" w:rsidP="007B618A">
      <w:pPr>
        <w:spacing w:line="259" w:lineRule="auto"/>
        <w:ind w:firstLine="993"/>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bookmarkEnd w:id="0"/>
      <w:r w:rsidR="007B618A" w:rsidRPr="007B618A">
        <w:rPr>
          <w:rFonts w:ascii="Times New Roman" w:eastAsia="Times New Roman" w:hAnsi="Times New Roman" w:cs="Times New Roman"/>
          <w:kern w:val="0"/>
          <w:lang w:eastAsia="lt-LT"/>
          <w14:ligatures w14:val="none"/>
        </w:rPr>
        <w:t>Prašome patikslinti pirkimo sąlygas:</w:t>
      </w:r>
    </w:p>
    <w:p w14:paraId="0AE6F346"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 xml:space="preserve">1. Prašome patikslinti ar abiejų gatvių vandentiekio tinklai turėtų būti skirti tik geriamojo vandens tiekimui  gyvenamųjų namų buities poreikiams ar ir priešgaisriniams poreikiams, t. y. ar reikės projektuoti priešgaisrinius hidrantus? </w:t>
      </w:r>
    </w:p>
    <w:p w14:paraId="590F82EB"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2.  Jei pagal pirmąjį atsakymą reikės projektuoti priešgaisrinius hidrantus, tuomet norime atkreipti dėmesį, kad nurodytas 5 mėn. paslaugų suteikimo laikotarpis yra ženkliai per trumpas. Prašome terminą numatyti ne mažiau kaip 7 mėn.</w:t>
      </w:r>
    </w:p>
    <w:p w14:paraId="431E6972" w14:textId="4EE55B10"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3. Patikslinkite ar į nurodytą paslaugų suteikimo terminą įeina ir ekspertizės atlikimas? Jei taip, tuomet prašome paaiškinti per kokį laikotarpį Jūsų pasirinktas projekto ekspertizės rangovas pateiks pastabas arba teigiamą aktą?</w:t>
      </w:r>
    </w:p>
    <w:p w14:paraId="00C00426"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4.  3 priedo 5.7. punkte nurodyta projektuoti : “Projektuoti požemines buitinių nuotekų siurblines...“ Prašome paaiškinti ar privalomai turi būti projektuojamos dvi buitinių nuotekų siurblinės ar galima projektuoti vieną bendrą buitinių nuotekų  siurblinę?</w:t>
      </w:r>
    </w:p>
    <w:p w14:paraId="616BCF17"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5. Prašome paaiškinti ar į pasiūlymo kainą reikalinga įvertinti nuotekų siurblinė (-</w:t>
      </w:r>
      <w:proofErr w:type="spellStart"/>
      <w:r w:rsidRPr="007B618A">
        <w:rPr>
          <w:rFonts w:ascii="Times New Roman" w:eastAsia="Times New Roman" w:hAnsi="Times New Roman" w:cs="Times New Roman"/>
          <w:kern w:val="0"/>
          <w:lang w:eastAsia="lt-LT"/>
          <w14:ligatures w14:val="none"/>
        </w:rPr>
        <w:t>ių</w:t>
      </w:r>
      <w:proofErr w:type="spellEnd"/>
      <w:r w:rsidRPr="007B618A">
        <w:rPr>
          <w:rFonts w:ascii="Times New Roman" w:eastAsia="Times New Roman" w:hAnsi="Times New Roman" w:cs="Times New Roman"/>
          <w:kern w:val="0"/>
          <w:lang w:eastAsia="lt-LT"/>
          <w14:ligatures w14:val="none"/>
        </w:rPr>
        <w:t>) ESO dalies projekto parengimą, ar vis dėl to gal šią dalį rengs ESO ?</w:t>
      </w:r>
    </w:p>
    <w:p w14:paraId="7FF4826A"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6. 2 ir 3 priedo 4.8 p. nurodyta „Spręsti su projekto įgyvendinimu susijusius klausimus rangos darbų laikotarpiu bei esant poreikiui garantiniu atliktų statybos darbų periodu.“ Kadangi reikalavimas labai nekonkretus, prašome patikslinti:</w:t>
      </w:r>
    </w:p>
    <w:p w14:paraId="623C18BD"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 xml:space="preserve">a) ar į pasiūlymo kainą reiktų įvertinti projekto vykdymo priežiūros (PVP) paslaugas ar dar kažkokias paslaugas papildomai? </w:t>
      </w:r>
    </w:p>
    <w:p w14:paraId="368DEACB"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 xml:space="preserve">b) laikotarpį, kurio metu reiks spręsti su projekto įgyvendinimu klausimus. Neaišku nei kada planuojate pirkti, vykdyti statybos darbus, nei kiek laiko jie bus vykdomi, nei koks garantinis terminas (pagal ekonominio naudingumo pirkimus garantinis terminas gali būti ilgesnis nei numato LR statybos įstatymas). </w:t>
      </w:r>
    </w:p>
    <w:p w14:paraId="7D75494E"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c) ar šios paslaugos vertė bus indeksuojama, nes kaip žinia paslėptų darbų garantinis terminas yra min. 10 metų.  Ar tikrai norite pirkti paslaugas 10 ar daugiau metų?</w:t>
      </w:r>
    </w:p>
    <w:p w14:paraId="178A3431"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7. Prašome pateikti reikalavimus siurblinių (-ės) procesų valdymui, automatizavimui ir duomenų perdavimui ir nurodyti kas bus  eksploatuotojas : UAB „Dzūkijos vandenys“, Simno komunalininkas ar perkančioji organizacija?</w:t>
      </w:r>
    </w:p>
    <w:p w14:paraId="2C010336"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 xml:space="preserve">8. Pagal kvalifikacinį reikalavimą </w:t>
      </w:r>
      <w:proofErr w:type="spellStart"/>
      <w:r w:rsidRPr="007B618A">
        <w:rPr>
          <w:rFonts w:ascii="Times New Roman" w:eastAsia="Times New Roman" w:hAnsi="Times New Roman" w:cs="Times New Roman"/>
          <w:kern w:val="0"/>
          <w:lang w:eastAsia="lt-LT"/>
          <w14:ligatures w14:val="none"/>
        </w:rPr>
        <w:t>nr.</w:t>
      </w:r>
      <w:proofErr w:type="spellEnd"/>
      <w:r w:rsidRPr="007B618A">
        <w:rPr>
          <w:rFonts w:ascii="Times New Roman" w:eastAsia="Times New Roman" w:hAnsi="Times New Roman" w:cs="Times New Roman"/>
          <w:kern w:val="0"/>
          <w:lang w:eastAsia="lt-LT"/>
          <w14:ligatures w14:val="none"/>
        </w:rPr>
        <w:t xml:space="preserve"> 1. Tiekėjas sutarčiai vykdyti turi pasiūlyti bent vieną statinio statybos darbų vadovą, kuris turi teisę eiti ypatingojo statinio statybos vadovo pareigas. Statiniai: inžineriniai tinklai (vandentiekio tinklai, nuotekų šalinimo tinklai).</w:t>
      </w:r>
    </w:p>
    <w:p w14:paraId="3DE4E611" w14:textId="77777777" w:rsidR="007B618A"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 xml:space="preserve">Atkreipiame dėmesį, kad pagal STR 1.01.03:2017 „Statinių klasifikavimas“ nuotekų siurblinės priskiriamos prie kitos paskirties statinių, todėl  asmuo turintis kvalifikaciją </w:t>
      </w:r>
      <w:r w:rsidRPr="007B618A">
        <w:rPr>
          <w:rFonts w:ascii="Times New Roman" w:eastAsia="Times New Roman" w:hAnsi="Times New Roman" w:cs="Times New Roman"/>
          <w:kern w:val="0"/>
          <w:lang w:eastAsia="lt-LT"/>
          <w14:ligatures w14:val="none"/>
        </w:rPr>
        <w:lastRenderedPageBreak/>
        <w:t xml:space="preserve">projektuoti inžinerinius tinklus (nuotekų šalinimo tinklus), neturi teisės projektuoti kitos paskirties statinio (nuotekų siurblinės). </w:t>
      </w:r>
    </w:p>
    <w:p w14:paraId="5BD4E64C" w14:textId="01C6BF45" w:rsidR="003C13F4" w:rsidRPr="007B618A" w:rsidRDefault="007B618A" w:rsidP="007B618A">
      <w:pPr>
        <w:spacing w:line="259" w:lineRule="auto"/>
        <w:ind w:firstLine="993"/>
        <w:contextualSpacing/>
        <w:jc w:val="both"/>
        <w:rPr>
          <w:rFonts w:ascii="Times New Roman" w:eastAsia="Times New Roman" w:hAnsi="Times New Roman" w:cs="Times New Roman"/>
          <w:kern w:val="0"/>
          <w:lang w:eastAsia="lt-LT"/>
          <w14:ligatures w14:val="none"/>
        </w:rPr>
      </w:pPr>
      <w:r w:rsidRPr="007B618A">
        <w:rPr>
          <w:rFonts w:ascii="Times New Roman" w:eastAsia="Times New Roman" w:hAnsi="Times New Roman" w:cs="Times New Roman"/>
          <w:kern w:val="0"/>
          <w:lang w:eastAsia="lt-LT"/>
          <w14:ligatures w14:val="none"/>
        </w:rPr>
        <w:t>Atsižvelgiant į prieš tai išdėstyta, prašome patikslinti pirkimo II dalies kvalifikacinį reikalavimą sekančiai: Tiekėjas sutarčiai vykdyti turi pasiūlyti bent vieną statinio statybos darbų vadovą, kuris turi teisę eiti ypatingojo statinio statybos vadovo pareigas. Statiniai: inžineriniai tinklai (vandentiekio tinklai, nuotekų šalinimo tinklai); kitos paskirties statiniai (nuotekų siurblinės)</w:t>
      </w:r>
      <w:r>
        <w:rPr>
          <w:rFonts w:ascii="Times New Roman" w:eastAsia="Times New Roman" w:hAnsi="Times New Roman" w:cs="Times New Roman"/>
          <w:kern w:val="0"/>
          <w:lang w:eastAsia="lt-LT"/>
          <w14:ligatures w14:val="none"/>
        </w:rPr>
        <w:t xml:space="preserve"> </w:t>
      </w:r>
      <w:r w:rsidR="003716FE" w:rsidRPr="003716FE">
        <w:rPr>
          <w:rFonts w:ascii="Times New Roman" w:eastAsia="Calibri" w:hAnsi="Times New Roman" w:cs="Times New Roman"/>
          <w:i/>
          <w:iCs/>
        </w:rPr>
        <w:t>(kalba netaisyta).</w:t>
      </w:r>
    </w:p>
    <w:p w14:paraId="6E031B6E" w14:textId="77777777" w:rsidR="003716FE" w:rsidRDefault="003716FE" w:rsidP="00950644">
      <w:pPr>
        <w:spacing w:line="259" w:lineRule="auto"/>
        <w:ind w:firstLine="993"/>
        <w:contextualSpacing/>
        <w:jc w:val="both"/>
        <w:rPr>
          <w:rFonts w:ascii="Times New Roman" w:eastAsia="Calibri" w:hAnsi="Times New Roman" w:cs="Times New Roman"/>
          <w:i/>
          <w:iCs/>
        </w:rPr>
      </w:pPr>
    </w:p>
    <w:p w14:paraId="25767D3F" w14:textId="0DC27895" w:rsidR="003716FE" w:rsidRDefault="003716FE" w:rsidP="00950644">
      <w:pPr>
        <w:spacing w:line="259" w:lineRule="auto"/>
        <w:ind w:firstLine="993"/>
        <w:contextualSpacing/>
        <w:jc w:val="both"/>
        <w:rPr>
          <w:rFonts w:ascii="Times New Roman" w:eastAsia="Calibri" w:hAnsi="Times New Roman" w:cs="Times New Roman"/>
          <w:b/>
          <w:bCs/>
        </w:rPr>
      </w:pPr>
      <w:r w:rsidRPr="003716FE">
        <w:rPr>
          <w:rFonts w:ascii="Times New Roman" w:eastAsia="Calibri" w:hAnsi="Times New Roman" w:cs="Times New Roman"/>
          <w:b/>
          <w:bCs/>
        </w:rPr>
        <w:t>Atsakymas</w:t>
      </w:r>
      <w:r>
        <w:rPr>
          <w:rFonts w:ascii="Times New Roman" w:eastAsia="Calibri" w:hAnsi="Times New Roman" w:cs="Times New Roman"/>
          <w:b/>
          <w:bCs/>
        </w:rPr>
        <w:t>.</w:t>
      </w:r>
    </w:p>
    <w:p w14:paraId="5E1AC7F6" w14:textId="7B65BD3F" w:rsidR="007B618A" w:rsidRDefault="007B618A" w:rsidP="00326DE3">
      <w:pPr>
        <w:spacing w:after="0" w:line="259" w:lineRule="auto"/>
        <w:ind w:firstLine="992"/>
        <w:jc w:val="both"/>
        <w:rPr>
          <w:rFonts w:ascii="Times New Roman" w:eastAsia="Calibri" w:hAnsi="Times New Roman" w:cs="Times New Roman"/>
        </w:rPr>
      </w:pPr>
      <w:r w:rsidRPr="00BD49DD">
        <w:rPr>
          <w:rFonts w:ascii="Times New Roman" w:eastAsia="Calibri" w:hAnsi="Times New Roman" w:cs="Times New Roman"/>
        </w:rPr>
        <w:t>1)</w:t>
      </w:r>
      <w:r>
        <w:rPr>
          <w:rFonts w:ascii="Times New Roman" w:eastAsia="Calibri" w:hAnsi="Times New Roman" w:cs="Times New Roman"/>
          <w:b/>
          <w:bCs/>
        </w:rPr>
        <w:t xml:space="preserve"> </w:t>
      </w:r>
      <w:r w:rsidR="001C5A72" w:rsidRPr="00617517">
        <w:rPr>
          <w:rFonts w:ascii="Times New Roman" w:eastAsia="Calibri" w:hAnsi="Times New Roman" w:cs="Times New Roman"/>
        </w:rPr>
        <w:t>UAB „Dzūkijos vandenys“ parengtose prijungimo sąlygose, bus nurodyta ar reikės projektuoti priešgaisrinius hidrantus.</w:t>
      </w:r>
    </w:p>
    <w:p w14:paraId="4ABAE6D7" w14:textId="5C52A7E2" w:rsidR="001C5A72" w:rsidRPr="007B618A" w:rsidRDefault="001C5A72" w:rsidP="00326DE3">
      <w:pPr>
        <w:spacing w:after="0" w:line="259" w:lineRule="auto"/>
        <w:ind w:firstLine="992"/>
        <w:jc w:val="both"/>
        <w:rPr>
          <w:rFonts w:ascii="Times New Roman" w:eastAsia="Calibri" w:hAnsi="Times New Roman" w:cs="Times New Roman"/>
          <w:b/>
          <w:bCs/>
        </w:rPr>
      </w:pPr>
      <w:r>
        <w:rPr>
          <w:rFonts w:ascii="Times New Roman" w:eastAsia="Calibri" w:hAnsi="Times New Roman" w:cs="Times New Roman"/>
        </w:rPr>
        <w:t xml:space="preserve">2) </w:t>
      </w:r>
      <w:r w:rsidR="00842928" w:rsidRPr="00617517">
        <w:rPr>
          <w:rFonts w:ascii="Times New Roman" w:eastAsia="Calibri" w:hAnsi="Times New Roman" w:cs="Times New Roman"/>
        </w:rPr>
        <w:t xml:space="preserve">Paslaugų teikimo terminas </w:t>
      </w:r>
      <w:r w:rsidR="00617517" w:rsidRPr="00617517">
        <w:rPr>
          <w:rFonts w:ascii="Times New Roman" w:eastAsia="Calibri" w:hAnsi="Times New Roman" w:cs="Times New Roman"/>
        </w:rPr>
        <w:t>nebus koreguojamas.</w:t>
      </w:r>
    </w:p>
    <w:p w14:paraId="3461A1B6" w14:textId="0AD191F3" w:rsidR="0016744E" w:rsidRDefault="00842928" w:rsidP="00326DE3">
      <w:pPr>
        <w:spacing w:after="0" w:line="240" w:lineRule="auto"/>
        <w:ind w:firstLine="992"/>
        <w:jc w:val="both"/>
        <w:rPr>
          <w:rFonts w:ascii="Times New Roman" w:eastAsia="Calibri" w:hAnsi="Times New Roman" w:cs="Times New Roman"/>
          <w:bCs/>
          <w:kern w:val="0"/>
          <w:szCs w:val="22"/>
          <w:lang w:eastAsia="lt-LT"/>
          <w14:ligatures w14:val="none"/>
        </w:rPr>
      </w:pPr>
      <w:r w:rsidRPr="00842928">
        <w:rPr>
          <w:rFonts w:ascii="Times New Roman" w:eastAsia="Calibri" w:hAnsi="Times New Roman" w:cs="Times New Roman"/>
          <w:bCs/>
          <w:kern w:val="0"/>
          <w:szCs w:val="22"/>
          <w:lang w:eastAsia="lt-LT"/>
          <w14:ligatures w14:val="none"/>
        </w:rPr>
        <w:t>3)</w:t>
      </w:r>
      <w:r w:rsidR="00A16C05">
        <w:rPr>
          <w:rFonts w:ascii="Times New Roman" w:eastAsia="Calibri" w:hAnsi="Times New Roman" w:cs="Times New Roman"/>
          <w:b/>
          <w:kern w:val="0"/>
          <w:szCs w:val="22"/>
          <w:lang w:eastAsia="lt-LT"/>
          <w14:ligatures w14:val="none"/>
        </w:rPr>
        <w:t xml:space="preserve"> </w:t>
      </w:r>
      <w:r w:rsidRPr="00842928">
        <w:rPr>
          <w:rFonts w:ascii="Times New Roman" w:eastAsia="Calibri" w:hAnsi="Times New Roman" w:cs="Times New Roman"/>
          <w:bCs/>
          <w:kern w:val="0"/>
          <w:szCs w:val="22"/>
          <w:lang w:eastAsia="lt-LT"/>
          <w14:ligatures w14:val="none"/>
        </w:rPr>
        <w:t>Į nurodytą paslaugų teikimo terminą ekspertizės atlikimas įeina. Projekto ekspertizės aktą ekspertizės rangovas turės pateikti ne vėliau kaip per 12 (dvylika) darbo dienų nuo visų dokumentų ir informacijos gavimo, reikalingos pastaboms ar teigiamai išvadai parengti.</w:t>
      </w:r>
    </w:p>
    <w:p w14:paraId="6CA1D552" w14:textId="0FD286AA" w:rsidR="00A16C05" w:rsidRDefault="0016744E" w:rsidP="00326DE3">
      <w:pPr>
        <w:spacing w:after="0" w:line="240" w:lineRule="auto"/>
        <w:ind w:firstLine="992"/>
        <w:jc w:val="both"/>
        <w:rPr>
          <w:rFonts w:ascii="Times New Roman" w:hAnsi="Times New Roman" w:cs="Times New Roman"/>
        </w:rPr>
      </w:pPr>
      <w:r>
        <w:rPr>
          <w:rFonts w:ascii="Times New Roman" w:eastAsia="Calibri" w:hAnsi="Times New Roman" w:cs="Times New Roman"/>
          <w:bCs/>
          <w:kern w:val="0"/>
          <w:szCs w:val="22"/>
          <w:lang w:eastAsia="lt-LT"/>
          <w14:ligatures w14:val="none"/>
        </w:rPr>
        <w:t xml:space="preserve">4) </w:t>
      </w:r>
      <w:bookmarkStart w:id="2" w:name="_Hlk211593468"/>
      <w:r w:rsidR="00A16C05">
        <w:rPr>
          <w:rFonts w:ascii="Times New Roman" w:eastAsia="Calibri" w:hAnsi="Times New Roman" w:cs="Times New Roman"/>
          <w:bCs/>
          <w:kern w:val="0"/>
          <w:szCs w:val="22"/>
          <w:lang w:eastAsia="lt-LT"/>
          <w14:ligatures w14:val="none"/>
        </w:rPr>
        <w:t>Dėl II pirkimo dalies (</w:t>
      </w:r>
      <w:r w:rsidR="00617517" w:rsidRPr="00617517">
        <w:rPr>
          <w:rFonts w:ascii="Times New Roman" w:hAnsi="Times New Roman" w:cs="Times New Roman"/>
        </w:rPr>
        <w:t>Vandentiekio ir buitinių nuotekų tvarkymo infrastruktūros Alytaus r. sav., Alytaus sen., Miklusėnų k., Naujakurių g. statybos projekto parengimo paslaug</w:t>
      </w:r>
      <w:r w:rsidR="00617517">
        <w:rPr>
          <w:rFonts w:ascii="Times New Roman" w:hAnsi="Times New Roman" w:cs="Times New Roman"/>
        </w:rPr>
        <w:t>ų pirkimo</w:t>
      </w:r>
      <w:r w:rsidR="00A16C05">
        <w:rPr>
          <w:rFonts w:ascii="Times New Roman" w:hAnsi="Times New Roman" w:cs="Times New Roman"/>
        </w:rPr>
        <w:t>)</w:t>
      </w:r>
      <w:r w:rsidR="00617517">
        <w:rPr>
          <w:rFonts w:ascii="Times New Roman" w:hAnsi="Times New Roman" w:cs="Times New Roman"/>
        </w:rPr>
        <w:t xml:space="preserve"> </w:t>
      </w:r>
      <w:r w:rsidR="00A16C05" w:rsidRPr="00A16C05">
        <w:rPr>
          <w:rFonts w:ascii="Times New Roman" w:hAnsi="Times New Roman" w:cs="Times New Roman"/>
        </w:rPr>
        <w:t>susiję klausimai šiuo metu nebus nagrinėjami, kadangi perkančioji organizacija sprendžia dėl tolimesnių procedūrų vykdymo. Apie priimtą sprendimą bus pranešta atskiru pranešimu.</w:t>
      </w:r>
    </w:p>
    <w:bookmarkEnd w:id="2"/>
    <w:p w14:paraId="40A117A7" w14:textId="6D7A984F" w:rsidR="0016744E" w:rsidRDefault="0016744E" w:rsidP="00326DE3">
      <w:pPr>
        <w:spacing w:after="0" w:line="240" w:lineRule="auto"/>
        <w:ind w:firstLine="992"/>
        <w:jc w:val="both"/>
        <w:rPr>
          <w:rFonts w:ascii="Times New Roman" w:hAnsi="Times New Roman" w:cs="Times New Roman"/>
        </w:rPr>
      </w:pPr>
      <w:r>
        <w:rPr>
          <w:rFonts w:ascii="Times New Roman" w:hAnsi="Times New Roman" w:cs="Times New Roman"/>
        </w:rPr>
        <w:t xml:space="preserve">5) </w:t>
      </w:r>
      <w:r w:rsidR="00A16C05" w:rsidRPr="00A16C05">
        <w:rPr>
          <w:rFonts w:ascii="Times New Roman" w:hAnsi="Times New Roman" w:cs="Times New Roman"/>
        </w:rPr>
        <w:t>Dėl II pirkimo dalies (Vandentiekio ir buitinių nuotekų tvarkymo infrastruktūros Alytaus r. sav., Alytaus sen., Miklusėnų k., Naujakurių g. statybos projekto parengimo paslaugų pirkimo) susiję klausimai šiuo metu nebus nagrinėjami, kadangi perkančioji organizacija sprendžia dėl tolimesnių procedūrų vykdymo. Apie priimtą sprendimą bus pranešta atskiru pranešimu.</w:t>
      </w:r>
    </w:p>
    <w:p w14:paraId="71703604" w14:textId="03FC0008" w:rsidR="00CB2E01" w:rsidRDefault="00CB2E01" w:rsidP="00326DE3">
      <w:pPr>
        <w:spacing w:after="0" w:line="240" w:lineRule="auto"/>
        <w:ind w:firstLine="992"/>
        <w:jc w:val="both"/>
        <w:rPr>
          <w:rFonts w:ascii="Times New Roman" w:hAnsi="Times New Roman" w:cs="Times New Roman"/>
        </w:rPr>
      </w:pPr>
      <w:r>
        <w:rPr>
          <w:rFonts w:ascii="Times New Roman" w:hAnsi="Times New Roman" w:cs="Times New Roman"/>
        </w:rPr>
        <w:t xml:space="preserve">6) </w:t>
      </w:r>
      <w:r w:rsidR="00CF3061" w:rsidRPr="00A16C05">
        <w:rPr>
          <w:rFonts w:ascii="Times New Roman" w:hAnsi="Times New Roman" w:cs="Times New Roman"/>
        </w:rPr>
        <w:t>Tai nėra projekto vykdymo priežiūra. Paslaugos vertė nebus indeksuojama.</w:t>
      </w:r>
    </w:p>
    <w:p w14:paraId="57FD35C6" w14:textId="1F905830" w:rsidR="00B076E4" w:rsidRPr="0016744E" w:rsidRDefault="00B076E4" w:rsidP="00326DE3">
      <w:pPr>
        <w:spacing w:after="0" w:line="240" w:lineRule="auto"/>
        <w:ind w:firstLine="992"/>
        <w:jc w:val="both"/>
        <w:rPr>
          <w:rFonts w:ascii="Times New Roman" w:eastAsia="Calibri" w:hAnsi="Times New Roman" w:cs="Times New Roman"/>
          <w:bCs/>
          <w:kern w:val="0"/>
          <w:szCs w:val="22"/>
          <w:lang w:eastAsia="lt-LT"/>
          <w14:ligatures w14:val="none"/>
        </w:rPr>
      </w:pPr>
      <w:r>
        <w:rPr>
          <w:rFonts w:ascii="Times New Roman" w:hAnsi="Times New Roman" w:cs="Times New Roman"/>
        </w:rPr>
        <w:t xml:space="preserve">7) </w:t>
      </w:r>
      <w:r w:rsidR="00A16C05" w:rsidRPr="00A16C05">
        <w:rPr>
          <w:rFonts w:ascii="Times New Roman" w:hAnsi="Times New Roman" w:cs="Times New Roman"/>
        </w:rPr>
        <w:t>Dėl II pirkimo dalies (Vandentiekio ir buitinių nuotekų tvarkymo infrastruktūros Alytaus r. sav., Alytaus sen., Miklusėnų k., Naujakurių g. statybos projekto parengimo paslaugų pirkimo) susiję klausimai šiuo metu nebus nagrinėjami, kadangi perkančioji organizacija sprendžia dėl tolimesnių procedūrų vykdymo. Apie priimtą sprendimą bus pranešta atskiru pranešimu.</w:t>
      </w:r>
    </w:p>
    <w:p w14:paraId="013012E1" w14:textId="2C52C8D8" w:rsidR="00D50710" w:rsidRDefault="00BD3E32" w:rsidP="00A16C05">
      <w:pPr>
        <w:spacing w:after="0" w:line="240" w:lineRule="auto"/>
        <w:ind w:firstLine="993"/>
        <w:jc w:val="both"/>
        <w:rPr>
          <w:rFonts w:ascii="Times New Roman" w:eastAsia="Calibri" w:hAnsi="Times New Roman" w:cs="Times New Roman"/>
          <w:bCs/>
          <w:kern w:val="0"/>
          <w:szCs w:val="22"/>
          <w:lang w:eastAsia="lt-LT"/>
          <w14:ligatures w14:val="none"/>
        </w:rPr>
      </w:pPr>
      <w:r w:rsidRPr="00BD3E32">
        <w:rPr>
          <w:rFonts w:ascii="Times New Roman" w:eastAsia="Calibri" w:hAnsi="Times New Roman" w:cs="Times New Roman"/>
          <w:bCs/>
          <w:kern w:val="0"/>
          <w:szCs w:val="22"/>
          <w:lang w:eastAsia="lt-LT"/>
          <w14:ligatures w14:val="none"/>
        </w:rPr>
        <w:t>8)</w:t>
      </w:r>
      <w:r>
        <w:rPr>
          <w:rFonts w:ascii="Times New Roman" w:eastAsia="Calibri" w:hAnsi="Times New Roman" w:cs="Times New Roman"/>
          <w:b/>
          <w:kern w:val="0"/>
          <w:szCs w:val="22"/>
          <w:lang w:eastAsia="lt-LT"/>
          <w14:ligatures w14:val="none"/>
        </w:rPr>
        <w:t xml:space="preserve"> </w:t>
      </w:r>
      <w:r w:rsidR="00A16C05" w:rsidRPr="00A16C05">
        <w:rPr>
          <w:rFonts w:ascii="Times New Roman" w:eastAsia="Calibri" w:hAnsi="Times New Roman" w:cs="Times New Roman"/>
          <w:bCs/>
          <w:kern w:val="0"/>
          <w:szCs w:val="22"/>
          <w:lang w:eastAsia="lt-LT"/>
          <w14:ligatures w14:val="none"/>
        </w:rPr>
        <w:t>Dėl II pirkimo dalies (Vandentiekio ir buitinių nuotekų tvarkymo infrastruktūros Alytaus r. sav., Alytaus sen., Miklusėnų k., Naujakurių g. statybos projekto parengimo paslaugų pirkimo) susiję klausimai šiuo metu nebus nagrinėjami, kadangi perkančioji organizacija sprendžia dėl tolimesnių procedūrų vykdymo. Apie priimtą sprendimą bus pranešta atskiru pranešimu.</w:t>
      </w:r>
    </w:p>
    <w:p w14:paraId="1BE48265" w14:textId="77777777" w:rsidR="00003A4F" w:rsidRDefault="00003A4F" w:rsidP="00A16C05">
      <w:pPr>
        <w:spacing w:after="0" w:line="240" w:lineRule="auto"/>
        <w:ind w:firstLine="993"/>
        <w:jc w:val="both"/>
        <w:rPr>
          <w:rFonts w:ascii="Times New Roman" w:eastAsia="Calibri" w:hAnsi="Times New Roman" w:cs="Times New Roman"/>
          <w:bCs/>
          <w:kern w:val="0"/>
          <w:szCs w:val="22"/>
          <w:lang w:eastAsia="lt-LT"/>
          <w14:ligatures w14:val="none"/>
        </w:rPr>
      </w:pPr>
    </w:p>
    <w:p w14:paraId="2F916533" w14:textId="3E583DDE" w:rsidR="00003A4F" w:rsidRPr="00A16C05" w:rsidRDefault="00003A4F" w:rsidP="00A16C05">
      <w:pPr>
        <w:spacing w:after="0" w:line="240" w:lineRule="auto"/>
        <w:ind w:firstLine="993"/>
        <w:jc w:val="both"/>
        <w:rPr>
          <w:rFonts w:ascii="Times New Roman" w:eastAsia="Calibri" w:hAnsi="Times New Roman" w:cs="Times New Roman"/>
          <w:b/>
          <w:kern w:val="0"/>
          <w:szCs w:val="22"/>
          <w:lang w:eastAsia="lt-LT"/>
          <w14:ligatures w14:val="none"/>
        </w:rPr>
      </w:pPr>
      <w:r>
        <w:rPr>
          <w:rFonts w:ascii="Times New Roman" w:eastAsia="Calibri" w:hAnsi="Times New Roman" w:cs="Times New Roman"/>
          <w:bCs/>
          <w:kern w:val="0"/>
          <w:szCs w:val="22"/>
          <w:lang w:eastAsia="lt-LT"/>
          <w14:ligatures w14:val="none"/>
        </w:rPr>
        <w:t>Taip pat informuojame, kad nukeliamas pasiūlymų pateikimo terminas iki 2025-10-29 9.00 val.</w:t>
      </w:r>
    </w:p>
    <w:sectPr w:rsidR="00003A4F" w:rsidRPr="00A16C05" w:rsidSect="00F704BE">
      <w:headerReference w:type="default" r:id="rId7"/>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FAA4" w14:textId="77777777" w:rsidR="00150EA3" w:rsidRDefault="00150EA3">
      <w:pPr>
        <w:spacing w:after="0" w:line="240" w:lineRule="auto"/>
      </w:pPr>
      <w:r>
        <w:separator/>
      </w:r>
    </w:p>
  </w:endnote>
  <w:endnote w:type="continuationSeparator" w:id="0">
    <w:p w14:paraId="6201E5F3" w14:textId="77777777" w:rsidR="00150EA3" w:rsidRDefault="0015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D046" w14:textId="77777777" w:rsidR="00150EA3" w:rsidRDefault="00150EA3">
      <w:pPr>
        <w:spacing w:after="0" w:line="240" w:lineRule="auto"/>
      </w:pPr>
      <w:r>
        <w:separator/>
      </w:r>
    </w:p>
  </w:footnote>
  <w:footnote w:type="continuationSeparator" w:id="0">
    <w:p w14:paraId="6F015C45" w14:textId="77777777" w:rsidR="00150EA3" w:rsidRDefault="0015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2E0C8023" w14:textId="77777777" w:rsidR="00F704BE" w:rsidRDefault="00F704BE">
        <w:pPr>
          <w:pStyle w:val="Antrats"/>
          <w:jc w:val="center"/>
        </w:pPr>
        <w:r>
          <w:fldChar w:fldCharType="begin"/>
        </w:r>
        <w:r>
          <w:instrText>PAGE   \* MERGEFORMAT</w:instrText>
        </w:r>
        <w:r>
          <w:fldChar w:fldCharType="separate"/>
        </w:r>
        <w:r>
          <w:rPr>
            <w:noProof/>
          </w:rPr>
          <w:t>3</w:t>
        </w:r>
        <w:r>
          <w:fldChar w:fldCharType="end"/>
        </w:r>
      </w:p>
    </w:sdtContent>
  </w:sdt>
  <w:p w14:paraId="309C7A22" w14:textId="77777777" w:rsidR="00F704BE" w:rsidRDefault="00F70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77C9"/>
    <w:multiLevelType w:val="hybridMultilevel"/>
    <w:tmpl w:val="ADCAA10C"/>
    <w:lvl w:ilvl="0" w:tplc="4A8EA4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3DE77B81"/>
    <w:multiLevelType w:val="hybridMultilevel"/>
    <w:tmpl w:val="3BE66394"/>
    <w:lvl w:ilvl="0" w:tplc="B5DE9F6A">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813DC4"/>
    <w:multiLevelType w:val="hybridMultilevel"/>
    <w:tmpl w:val="F4FE541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628928077">
    <w:abstractNumId w:val="3"/>
  </w:num>
  <w:num w:numId="2" w16cid:durableId="507523756">
    <w:abstractNumId w:val="2"/>
  </w:num>
  <w:num w:numId="3" w16cid:durableId="691036095">
    <w:abstractNumId w:val="1"/>
  </w:num>
  <w:num w:numId="4" w16cid:durableId="192271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1"/>
    <w:rsid w:val="00003A4F"/>
    <w:rsid w:val="00010328"/>
    <w:rsid w:val="000502F2"/>
    <w:rsid w:val="000C7044"/>
    <w:rsid w:val="000E27C1"/>
    <w:rsid w:val="000E61FF"/>
    <w:rsid w:val="00132511"/>
    <w:rsid w:val="00150EA3"/>
    <w:rsid w:val="0016744E"/>
    <w:rsid w:val="001B7DE9"/>
    <w:rsid w:val="001C5A72"/>
    <w:rsid w:val="002C707C"/>
    <w:rsid w:val="002E312E"/>
    <w:rsid w:val="0030227D"/>
    <w:rsid w:val="00326DE3"/>
    <w:rsid w:val="00331944"/>
    <w:rsid w:val="00336D19"/>
    <w:rsid w:val="0034642A"/>
    <w:rsid w:val="003716FE"/>
    <w:rsid w:val="003A1F72"/>
    <w:rsid w:val="003C13F4"/>
    <w:rsid w:val="00454ADF"/>
    <w:rsid w:val="004A47D4"/>
    <w:rsid w:val="004F53F3"/>
    <w:rsid w:val="005B696D"/>
    <w:rsid w:val="00617517"/>
    <w:rsid w:val="00693C41"/>
    <w:rsid w:val="007B618A"/>
    <w:rsid w:val="00812DDD"/>
    <w:rsid w:val="00842928"/>
    <w:rsid w:val="00846EE4"/>
    <w:rsid w:val="008D2ADE"/>
    <w:rsid w:val="008E4037"/>
    <w:rsid w:val="008E7186"/>
    <w:rsid w:val="00950644"/>
    <w:rsid w:val="00A16C05"/>
    <w:rsid w:val="00A42BE7"/>
    <w:rsid w:val="00A5054C"/>
    <w:rsid w:val="00A9200D"/>
    <w:rsid w:val="00AC02E4"/>
    <w:rsid w:val="00B05403"/>
    <w:rsid w:val="00B076E4"/>
    <w:rsid w:val="00B200DD"/>
    <w:rsid w:val="00B85AA3"/>
    <w:rsid w:val="00BB214F"/>
    <w:rsid w:val="00BD3E32"/>
    <w:rsid w:val="00BD49DD"/>
    <w:rsid w:val="00BF2C6A"/>
    <w:rsid w:val="00C227D7"/>
    <w:rsid w:val="00C823B7"/>
    <w:rsid w:val="00CA6230"/>
    <w:rsid w:val="00CB2E01"/>
    <w:rsid w:val="00CF3061"/>
    <w:rsid w:val="00D50533"/>
    <w:rsid w:val="00D50710"/>
    <w:rsid w:val="00D60117"/>
    <w:rsid w:val="00DD25FA"/>
    <w:rsid w:val="00DE66B8"/>
    <w:rsid w:val="00E86A67"/>
    <w:rsid w:val="00ED7140"/>
    <w:rsid w:val="00F05D88"/>
    <w:rsid w:val="00F704BE"/>
    <w:rsid w:val="00F95A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FAE"/>
  <w15:chartTrackingRefBased/>
  <w15:docId w15:val="{342112F4-253B-4767-A874-05D348B2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C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C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C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C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C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C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C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C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C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C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C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C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C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C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C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C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C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C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C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C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C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3C41"/>
    <w:pPr>
      <w:ind w:left="720"/>
      <w:contextualSpacing/>
    </w:pPr>
  </w:style>
  <w:style w:type="character" w:styleId="Rykuspabraukimas">
    <w:name w:val="Intense Emphasis"/>
    <w:basedOn w:val="Numatytasispastraiposriftas"/>
    <w:uiPriority w:val="21"/>
    <w:qFormat/>
    <w:rsid w:val="00693C41"/>
    <w:rPr>
      <w:i/>
      <w:iCs/>
      <w:color w:val="0F4761" w:themeColor="accent1" w:themeShade="BF"/>
    </w:rPr>
  </w:style>
  <w:style w:type="paragraph" w:styleId="Iskirtacitata">
    <w:name w:val="Intense Quote"/>
    <w:basedOn w:val="prastasis"/>
    <w:next w:val="prastasis"/>
    <w:link w:val="IskirtacitataDiagrama"/>
    <w:uiPriority w:val="30"/>
    <w:qFormat/>
    <w:rsid w:val="00693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C41"/>
    <w:rPr>
      <w:i/>
      <w:iCs/>
      <w:color w:val="0F4761" w:themeColor="accent1" w:themeShade="BF"/>
    </w:rPr>
  </w:style>
  <w:style w:type="character" w:styleId="Rykinuoroda">
    <w:name w:val="Intense Reference"/>
    <w:basedOn w:val="Numatytasispastraiposriftas"/>
    <w:uiPriority w:val="32"/>
    <w:qFormat/>
    <w:rsid w:val="00693C41"/>
    <w:rPr>
      <w:b/>
      <w:bCs/>
      <w:smallCaps/>
      <w:color w:val="0F4761" w:themeColor="accent1" w:themeShade="BF"/>
      <w:spacing w:val="5"/>
    </w:rPr>
  </w:style>
  <w:style w:type="paragraph" w:styleId="Antrats">
    <w:name w:val="header"/>
    <w:basedOn w:val="prastasis"/>
    <w:link w:val="AntratsDiagrama"/>
    <w:uiPriority w:val="99"/>
    <w:unhideWhenUsed/>
    <w:rsid w:val="00F704BE"/>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F704BE"/>
    <w:rPr>
      <w:rFonts w:ascii="Times New Roman" w:eastAsia="Calibri" w:hAnsi="Times New Roman" w:cs="Times New Roman"/>
      <w:kern w:val="0"/>
      <w:szCs w:val="22"/>
      <w14:ligatures w14:val="none"/>
    </w:rPr>
  </w:style>
  <w:style w:type="paragraph" w:styleId="prastasiniatinklio">
    <w:name w:val="Normal (Web)"/>
    <w:basedOn w:val="prastasis"/>
    <w:uiPriority w:val="99"/>
    <w:semiHidden/>
    <w:unhideWhenUsed/>
    <w:rsid w:val="00CA623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2</Pages>
  <Words>3629</Words>
  <Characters>2070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76</cp:revision>
  <dcterms:created xsi:type="dcterms:W3CDTF">2025-10-09T08:38:00Z</dcterms:created>
  <dcterms:modified xsi:type="dcterms:W3CDTF">2025-10-22T12:32:00Z</dcterms:modified>
</cp:coreProperties>
</file>