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7D" w:rsidRPr="00FD407D" w:rsidRDefault="00FD407D" w:rsidP="00FD407D">
      <w:pPr>
        <w:pStyle w:val="Antrat1"/>
        <w:spacing w:before="0" w:after="0"/>
        <w:jc w:val="right"/>
        <w:rPr>
          <w:rFonts w:ascii="Times New Roman" w:hAnsi="Times New Roman"/>
          <w:bCs/>
          <w:sz w:val="20"/>
          <w:szCs w:val="20"/>
        </w:rPr>
      </w:pPr>
      <w:r w:rsidRPr="00FD407D">
        <w:rPr>
          <w:rFonts w:ascii="Times New Roman" w:hAnsi="Times New Roman"/>
          <w:bCs/>
          <w:sz w:val="20"/>
          <w:szCs w:val="20"/>
        </w:rPr>
        <w:t>Pirkimo sąlygų 1 priedas ,,Techninė specifikacija“</w:t>
      </w:r>
    </w:p>
    <w:p w:rsidR="00FD407D" w:rsidRDefault="00FD407D">
      <w:pPr>
        <w:pStyle w:val="Antrat1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8C47DF" w:rsidRDefault="007F4DEB">
      <w:pPr>
        <w:pStyle w:val="Antrat1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NAUJO  KELEIVINIO MIKROAUTOBUSO  </w:t>
      </w:r>
    </w:p>
    <w:p w:rsidR="008C47DF" w:rsidRDefault="007F4DEB">
      <w:pPr>
        <w:pStyle w:val="Antrat1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TECHNINĖ SPECIFIKACIJA</w:t>
      </w:r>
    </w:p>
    <w:p w:rsidR="008C47DF" w:rsidRDefault="008C47DF">
      <w:pPr>
        <w:pStyle w:val="Textbody"/>
        <w:spacing w:after="0"/>
        <w:jc w:val="center"/>
        <w:rPr>
          <w:rFonts w:ascii="Times New Roman" w:hAnsi="Times New Roman"/>
          <w:b/>
          <w:bCs/>
        </w:rPr>
      </w:pPr>
    </w:p>
    <w:p w:rsidR="008C47DF" w:rsidRDefault="007F4DEB">
      <w:pPr>
        <w:pStyle w:val="Default"/>
        <w:numPr>
          <w:ilvl w:val="0"/>
          <w:numId w:val="5"/>
        </w:numPr>
        <w:tabs>
          <w:tab w:val="left" w:pos="313"/>
        </w:tabs>
        <w:jc w:val="both"/>
        <w:rPr>
          <w:lang w:val="lt-LT"/>
        </w:rPr>
      </w:pPr>
      <w:r>
        <w:rPr>
          <w:lang w:val="lt-LT"/>
        </w:rPr>
        <w:t>Pirkimo objektas – naujas M2 klasės mikroautobusas</w:t>
      </w:r>
      <w:r w:rsidR="005B3DF1">
        <w:rPr>
          <w:lang w:val="lt-LT"/>
        </w:rPr>
        <w:t xml:space="preserve"> (toliau – automobilis arba transporto priemonė)</w:t>
      </w:r>
      <w:r>
        <w:rPr>
          <w:lang w:val="lt-LT"/>
        </w:rPr>
        <w:t>, jo techninio aptarnavimo ir remonto paslaugos garantiniu laikotarpiu (</w:t>
      </w:r>
      <w:r>
        <w:rPr>
          <w:lang w:val="lt-LT" w:eastAsia="lt-LT"/>
        </w:rPr>
        <w:t>techninė priežiūra, remontas, automobilio detalių ir eksploatacinių medžiagų tiekimas)</w:t>
      </w:r>
      <w:r>
        <w:rPr>
          <w:lang w:val="lt-LT"/>
        </w:rPr>
        <w:t>.</w:t>
      </w:r>
    </w:p>
    <w:p w:rsidR="008C47DF" w:rsidRDefault="007F4DEB">
      <w:pPr>
        <w:pStyle w:val="Default"/>
        <w:numPr>
          <w:ilvl w:val="0"/>
          <w:numId w:val="6"/>
        </w:numPr>
        <w:tabs>
          <w:tab w:val="left" w:pos="313"/>
        </w:tabs>
        <w:jc w:val="both"/>
        <w:rPr>
          <w:lang w:val="lt-LT"/>
        </w:rPr>
      </w:pPr>
      <w:r>
        <w:rPr>
          <w:lang w:val="lt-LT"/>
        </w:rPr>
        <w:t>Pirkimo objektas nėra skaidomas į atskiras dalis.</w:t>
      </w:r>
    </w:p>
    <w:p w:rsidR="008C47DF" w:rsidRDefault="004F7793">
      <w:pPr>
        <w:pStyle w:val="Default"/>
        <w:numPr>
          <w:ilvl w:val="0"/>
          <w:numId w:val="7"/>
        </w:numPr>
        <w:tabs>
          <w:tab w:val="left" w:pos="313"/>
        </w:tabs>
        <w:jc w:val="both"/>
        <w:rPr>
          <w:lang w:val="lt-LT"/>
        </w:rPr>
      </w:pPr>
      <w:r>
        <w:rPr>
          <w:lang w:val="lt-LT" w:eastAsia="lt-LT"/>
        </w:rPr>
        <w:t>Transporto priemonės</w:t>
      </w:r>
      <w:r w:rsidR="007F4DEB">
        <w:rPr>
          <w:lang w:val="lt-LT" w:eastAsia="lt-LT"/>
        </w:rPr>
        <w:t xml:space="preserve"> techninė priežiūra pagal gamintojo rekomendacijas 3 metų laikotarpiu, skaičiuojant iki 100 tūkst. km. ridos imtinai (pagal numatytos ridos arba laiko intervalus) bet ne dažniau kaip kas 15  tūkst. km, išskyrus numatytus privalomus metinius garantinius </w:t>
      </w:r>
      <w:proofErr w:type="spellStart"/>
      <w:r w:rsidR="007F4DEB">
        <w:rPr>
          <w:lang w:val="lt-LT" w:eastAsia="lt-LT"/>
        </w:rPr>
        <w:t>aptarnavimus</w:t>
      </w:r>
      <w:proofErr w:type="spellEnd"/>
      <w:r w:rsidR="007F4DEB">
        <w:rPr>
          <w:lang w:val="lt-LT" w:eastAsia="lt-LT"/>
        </w:rPr>
        <w:t>, bei kitus atvejus kai automobiliui reikalingas neplaninis techninis remontas.</w:t>
      </w:r>
    </w:p>
    <w:p w:rsidR="008C47DF" w:rsidRDefault="00421659">
      <w:pPr>
        <w:pStyle w:val="Default"/>
        <w:tabs>
          <w:tab w:val="left" w:pos="313"/>
        </w:tabs>
        <w:jc w:val="both"/>
      </w:pPr>
      <w:r>
        <w:rPr>
          <w:lang w:val="lt-LT" w:eastAsia="lt-LT"/>
        </w:rPr>
        <w:t xml:space="preserve">  4</w:t>
      </w:r>
      <w:r w:rsidR="004F7793">
        <w:rPr>
          <w:lang w:val="lt-LT" w:eastAsia="lt-LT"/>
        </w:rPr>
        <w:t>. Transporto priemonės</w:t>
      </w:r>
      <w:r w:rsidR="007F4DEB">
        <w:rPr>
          <w:lang w:val="lt-LT" w:eastAsia="lt-LT"/>
        </w:rPr>
        <w:t xml:space="preserve"> pristatymo terminas – 12 mėnesių nuo sutarties įsigaliojimo dienos.</w:t>
      </w:r>
      <w:r w:rsidR="007F4DEB">
        <w:t xml:space="preserve"> </w:t>
      </w:r>
      <w:r w:rsidR="007F4DEB">
        <w:rPr>
          <w:lang w:val="lt-LT"/>
        </w:rPr>
        <w:t>Jei</w:t>
      </w:r>
      <w:r w:rsidR="004F7793">
        <w:rPr>
          <w:lang w:val="lt-LT"/>
        </w:rPr>
        <w:t>gu mikroautobuso</w:t>
      </w:r>
      <w:r w:rsidR="007F4DEB">
        <w:rPr>
          <w:lang w:val="lt-LT"/>
        </w:rPr>
        <w:t xml:space="preserve"> modelio gamyba yra laikinai sustabdyta, pristatymo terminas skaičiuojamas nuo gamybos atnaujinimo dienos.</w:t>
      </w:r>
    </w:p>
    <w:p w:rsidR="008C47DF" w:rsidRDefault="00421659">
      <w:pPr>
        <w:pStyle w:val="Default"/>
        <w:tabs>
          <w:tab w:val="left" w:pos="313"/>
        </w:tabs>
        <w:jc w:val="both"/>
      </w:pPr>
      <w:r>
        <w:rPr>
          <w:lang w:val="lt-LT" w:eastAsia="lt-LT"/>
        </w:rPr>
        <w:t xml:space="preserve">  5</w:t>
      </w:r>
      <w:r w:rsidR="004F7793">
        <w:rPr>
          <w:lang w:val="lt-LT" w:eastAsia="lt-LT"/>
        </w:rPr>
        <w:t>. Transporto priemonės</w:t>
      </w:r>
      <w:r w:rsidR="007F4DEB">
        <w:rPr>
          <w:lang w:val="lt-LT" w:eastAsia="lt-LT"/>
        </w:rPr>
        <w:t xml:space="preserve"> pristatymo išlaidas į Perkančiosios organizacijos nurodytą vietą</w:t>
      </w:r>
      <w:r w:rsidR="00594BBC">
        <w:rPr>
          <w:lang w:val="lt-LT" w:eastAsia="lt-LT"/>
        </w:rPr>
        <w:t xml:space="preserve"> (Gedimino g. 17, Tauragė)</w:t>
      </w:r>
      <w:r w:rsidR="007F4DEB">
        <w:rPr>
          <w:lang w:val="lt-LT" w:eastAsia="lt-LT"/>
        </w:rPr>
        <w:t xml:space="preserve"> apmoka Tiekėjas.</w:t>
      </w:r>
    </w:p>
    <w:p w:rsidR="008C47DF" w:rsidRDefault="007F4DEB">
      <w:pPr>
        <w:pStyle w:val="Default"/>
        <w:tabs>
          <w:tab w:val="left" w:pos="1875"/>
        </w:tabs>
        <w:jc w:val="both"/>
        <w:rPr>
          <w:lang w:val="lt-LT"/>
        </w:rPr>
      </w:pPr>
      <w:r>
        <w:rPr>
          <w:lang w:val="lt-LT" w:eastAsia="lt-LT"/>
        </w:rPr>
        <w:t xml:space="preserve"> </w:t>
      </w:r>
    </w:p>
    <w:tbl>
      <w:tblPr>
        <w:tblW w:w="9497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"/>
        <w:gridCol w:w="2224"/>
        <w:gridCol w:w="6378"/>
      </w:tblGrid>
      <w:tr w:rsidR="004F16F6" w:rsidTr="002E2EEE">
        <w:trPr>
          <w:cantSplit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F16F6" w:rsidRDefault="004F16F6">
            <w:pPr>
              <w:pStyle w:val="Standard"/>
              <w:widowControl w:val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Eil. Nr.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16F6" w:rsidRDefault="005B3DF1" w:rsidP="005B3DF1">
            <w:pPr>
              <w:pStyle w:val="Standard"/>
              <w:widowControl w:val="0"/>
              <w:ind w:left="57" w:firstLine="4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Automobilio p</w:t>
            </w:r>
            <w:r w:rsidR="004F16F6">
              <w:rPr>
                <w:rFonts w:ascii="Times New Roman" w:hAnsi="Times New Roman"/>
                <w:sz w:val="22"/>
                <w:szCs w:val="22"/>
              </w:rPr>
              <w:t>arametro pavadinimas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081938" w:rsidP="005B3DF1">
            <w:pPr>
              <w:pStyle w:val="Standard"/>
              <w:widowControl w:val="0"/>
              <w:spacing w:before="240" w:after="240"/>
              <w:ind w:hanging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="004F16F6">
              <w:rPr>
                <w:rFonts w:ascii="Times New Roman" w:hAnsi="Times New Roman"/>
                <w:sz w:val="22"/>
                <w:szCs w:val="22"/>
              </w:rPr>
              <w:t xml:space="preserve">eikalavimai </w:t>
            </w:r>
            <w:r w:rsidR="005B3DF1">
              <w:rPr>
                <w:rFonts w:ascii="Times New Roman" w:hAnsi="Times New Roman"/>
                <w:sz w:val="22"/>
                <w:szCs w:val="22"/>
              </w:rPr>
              <w:t>automobiliui</w:t>
            </w:r>
          </w:p>
        </w:tc>
      </w:tr>
      <w:tr w:rsidR="004F16F6" w:rsidTr="002E2EEE">
        <w:trPr>
          <w:cantSplit/>
          <w:trHeight w:val="475"/>
        </w:trPr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center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2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Pr="007E2098" w:rsidRDefault="004F16F6">
            <w:pPr>
              <w:pStyle w:val="Standard"/>
              <w:widowControl w:val="0"/>
              <w:suppressLineNumbers/>
              <w:snapToGrid w:val="0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 w:rsidRPr="007E2098"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Bendrieji reikalavimai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Pr="007E2098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098"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1.1. Naujas neeksploatuotas keleivinis mikroautobusas (nurodomas modelis), pagamintas ne anksčiau nei 2025 m.;</w:t>
            </w:r>
          </w:p>
        </w:tc>
      </w:tr>
      <w:tr w:rsidR="004F16F6" w:rsidTr="002E2EEE">
        <w:trPr>
          <w:cantSplit/>
          <w:trHeight w:val="144"/>
        </w:trPr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Pr="007E2098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Pr="007E2098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 w:rsidRPr="007E2098"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1.2. Kategorija M2;</w:t>
            </w:r>
          </w:p>
        </w:tc>
      </w:tr>
      <w:tr w:rsidR="004F16F6" w:rsidTr="002E2EEE">
        <w:trPr>
          <w:cantSplit/>
          <w:trHeight w:val="286"/>
        </w:trPr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1.3. Bendra automobilio masė – ne daugiau 5000 kg;</w:t>
            </w:r>
          </w:p>
        </w:tc>
      </w:tr>
      <w:tr w:rsidR="004F16F6" w:rsidTr="002E2EEE">
        <w:trPr>
          <w:cantSplit/>
          <w:trHeight w:val="554"/>
        </w:trPr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1.4 Bendras automobilio ilgis 650-690 cm, bendras plotis su užlenktais veidrodėliais 200-220 cm, bendras aukštis 260-280 cm;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color w:val="000000"/>
                <w:sz w:val="22"/>
                <w:szCs w:val="22"/>
                <w:lang w:eastAsia="ar-SA"/>
              </w:rPr>
              <w:t>1.5. Vairas kairėje pusėje;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color w:val="000000"/>
                <w:sz w:val="22"/>
                <w:szCs w:val="22"/>
                <w:lang w:eastAsia="ar-SA"/>
              </w:rPr>
              <w:t>1.6. Automobilis turi atitikti techninius reikalavimus, patvirtintus Valstybinės kelių transporto inspekcijos prie Susisiekimo ministerijos viršininko 2022 m. spalio 20 d. įsakymu Nr. 2BE-260 „Dėl techninių motorinių transporto priemonių ir jų priekabų reikalavimų“;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1.7. Techninės apžiūros komplektas, registracija su valstybiniais numeriais.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center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Kėbulas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2.1. Sėdimų vietų skaičius – ne mažiau 17   su vairuotoju;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2.2. Priekinėje dalyje durys vairuotojui ir priekiniam keleiviui;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2.3. Keleivinėje dalyje  - durys kėbulo šone (dešinėje pusėje);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2.4. Galinėje dalyje durys atsidarančios ne mažiau 180º  kampu;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2.5. Spalva – </w:t>
            </w:r>
            <w:r>
              <w:rPr>
                <w:rFonts w:ascii="Times New Roman" w:eastAsia="SimSun, 宋体" w:hAnsi="Times New Roman"/>
                <w:b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Times New Roman" w:eastAsia="SimSun, 宋体" w:hAnsi="Times New Roman"/>
                <w:color w:val="000000"/>
                <w:sz w:val="22"/>
                <w:szCs w:val="22"/>
                <w:lang w:eastAsia="ar-SA"/>
              </w:rPr>
              <w:t xml:space="preserve">pasirenkama iš pasiūlymo galiojimo metu siūlomo modelio standartinių spalvų (įskaitant </w:t>
            </w:r>
            <w:proofErr w:type="spellStart"/>
            <w:r>
              <w:rPr>
                <w:rFonts w:ascii="Times New Roman" w:eastAsia="SimSun, 宋体" w:hAnsi="Times New Roman"/>
                <w:color w:val="000000"/>
                <w:sz w:val="22"/>
                <w:szCs w:val="22"/>
                <w:lang w:eastAsia="ar-SA"/>
              </w:rPr>
              <w:t>magnetic</w:t>
            </w:r>
            <w:proofErr w:type="spellEnd"/>
            <w:r>
              <w:rPr>
                <w:rFonts w:ascii="Times New Roman" w:eastAsia="SimSun, 宋体" w:hAnsi="Times New Roman"/>
                <w:color w:val="000000"/>
                <w:sz w:val="22"/>
                <w:szCs w:val="22"/>
                <w:lang w:eastAsia="ar-SA"/>
              </w:rPr>
              <w:t xml:space="preserve"> ar lygiavertes).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center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Variklis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3.1. Galia – ne mažiau 120 kW;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3.2. Dyzelinis, turi atitikti ne žemesnį kaip EURO 6 standartą (galiojantį automobilio registravimo viešajame registre metu).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center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Transmisija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4.1. Automatinė pavarų dėžė;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4.2. Galiniai varantieji ratai. Galimi sudvejinti galiniai ratai.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center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lastRenderedPageBreak/>
              <w:t>5.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Saugumas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5.1. Vairuotojui ir priekyje sėdinčiam keleiviui priekinės ir šoninės oro pagalvės;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left w:val="single" w:sz="2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5.2. Visų keleivių galvos atramos;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left w:val="single" w:sz="2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5.3. Saugos diržų tvirtinimo taškai ir saugos diržai arba apsaugos sistemos kiekvienai sėdimai vietai, atitinkančios šios rūšies transporto priemonėms Lietuvoje galiojančius reikalavimus;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left w:val="single" w:sz="2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5.4. Perspėjimas apie neprisegtą vairuotojo ir keleivio (priekyje) saugos diržą;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left w:val="single" w:sz="2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5.5. Gamyklinis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imobilaizeris</w:t>
            </w:r>
            <w:proofErr w:type="spellEnd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 ir signalizacija atitinkanti draudimo reikalavimus šios klasės transporto priemonei;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5.6. Pagalbinės eismo saugumo sistemos, kaip ABS,  ESP, HLA, FBS.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center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</w:p>
          <w:p w:rsidR="004F16F6" w:rsidRDefault="004F16F6">
            <w:pPr>
              <w:pStyle w:val="Standard"/>
              <w:widowControl w:val="0"/>
              <w:suppressLineNumbers/>
              <w:snapToGrid w:val="0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Įranga</w:t>
            </w:r>
          </w:p>
          <w:p w:rsidR="004F16F6" w:rsidRDefault="004F16F6">
            <w:pPr>
              <w:pStyle w:val="Standard"/>
              <w:widowControl w:val="0"/>
              <w:suppressLineNumbers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6.1. Elektra valdomi vairuotojo kabinos šoniniai langai;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6.2. Šoniniai galinio vaizdo išorės veidrodėliai šildomi ir valdomi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elektra;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6.3. Paruoštas eksploatuoti šiaurės Europos klimatinei zonai;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6.4. Reguliuojama vairo kolonėlė 4 kryptimis;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6.5. Oro kondicionierius arba klimato kontrolė 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vairuotojo zonoje ir keleivių salone;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6.6. Šildymo sistema keleivių salone ir vairuotojo vietoje, autonominis degalus naudojantis šildytuvas su nuotolinio valdymo pultu (</w:t>
            </w:r>
            <w:proofErr w:type="spellStart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Webasto</w:t>
            </w:r>
            <w:proofErr w:type="spellEnd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);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6.7. Elektros lizdas -  12 V;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6.8. Priekiniai ir galiniai </w:t>
            </w:r>
            <w:proofErr w:type="spellStart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purvasaugiai</w:t>
            </w:r>
            <w:proofErr w:type="spellEnd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6.9. Gamyklinė </w:t>
            </w:r>
            <w:proofErr w:type="spellStart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audio</w:t>
            </w:r>
            <w:proofErr w:type="spellEnd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 sistema su garsiakalbiais ir integruota telefonine „laisvų rankų“ įranga, </w:t>
            </w:r>
            <w:proofErr w:type="spellStart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bluetooth</w:t>
            </w:r>
            <w:proofErr w:type="spellEnd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 sąsaja;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6.10. Priekiniai ir galiniai </w:t>
            </w:r>
            <w:proofErr w:type="spellStart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purvasaugiai</w:t>
            </w:r>
            <w:proofErr w:type="spellEnd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6.11. Pastovaus greičio palaikymo įrenginys;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6.12. Išmanusis </w:t>
            </w:r>
            <w:proofErr w:type="spellStart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akseleravimo</w:t>
            </w:r>
            <w:proofErr w:type="spellEnd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 režimas;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6.13. Statiniai posūkio apšvietimo žibintai;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 w:rsidP="00A77E7F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6.14. </w:t>
            </w:r>
            <w:proofErr w:type="spellStart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Xenon</w:t>
            </w:r>
            <w:proofErr w:type="spellEnd"/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 xml:space="preserve"> arba LED priekiniai žibintai;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6.15. Priekiniai rūko žibintai;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6.16. Gamyklinis centrinis užraktas su nuotoliniu valdymu;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 w:rsidP="00FD036D">
            <w:pPr>
              <w:pStyle w:val="Standard"/>
              <w:widowControl w:val="0"/>
              <w:suppressLineNumbers/>
              <w:snapToGrid w:val="0"/>
              <w:spacing w:line="267" w:lineRule="exact"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 xml:space="preserve">6.17. Vairuotojo sėdynė šildoma su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porankiu</w:t>
            </w:r>
            <w:proofErr w:type="spellEnd"/>
            <w:r w:rsidR="007E16DA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 xml:space="preserve"> ir ne </w:t>
            </w:r>
            <w:r w:rsidR="00FD036D" w:rsidRPr="00FD036D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mažiau 8</w:t>
            </w:r>
            <w:r w:rsidR="007E16DA" w:rsidRPr="00FD036D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 xml:space="preserve"> </w:t>
            </w:r>
            <w:r w:rsidR="00FD036D" w:rsidRPr="00FD036D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kryptimis</w:t>
            </w:r>
            <w:r w:rsidR="00FD036D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 xml:space="preserve"> aukščio ir nugaros išlinkio</w:t>
            </w:r>
            <w:r w:rsidR="007E16DA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reguliavimu. Keleivio (šalia vairuotojo) šildoma vienvietė keleivio sėdynė su ne mažiau 4 kryptimis aukščio ir nugaros išlinkio reguliavimu;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spacing w:line="264" w:lineRule="exact"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 xml:space="preserve">6.18.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Porankiai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 xml:space="preserve"> ant keleivių sėdynių iš praėjimo pusės;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spacing w:line="264" w:lineRule="exact"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6.19. Keleivių vidaus zonos apšvietimas;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spacing w:line="264" w:lineRule="exact"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6.20. Keleivių skyriaus sėdynės minkštos, su atlenkiamais atlošais, patikimai pritvirtintos;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spacing w:line="264" w:lineRule="exact"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6.21. Sėdimosios dalies (įskaitant atlošą) apmušalai - atsparus dėvėjimuisi gobelenas (tamsus);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spacing w:line="264" w:lineRule="exact"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6.22. Saugos diržai įrengti visoms sėdynėms, atitinkantys galiojančius Europos Sąjungoje saugumo reikalavimus. Jei sėdynės įrengiamos antrinio gamintojo, turi būti pateiktas jų ir saugos diržų atitikties sertifikatas;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pacing w:line="26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6.23. Skydelis nuo saulės vairuotojo ir priekinio keleivio pusėje;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pacing w:line="275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6.24. Grindų danga – neslidi, atspari dilimui (ne metalas). Keleivių salono sienų ir lubų dangos – plastikinės ar iš lygiaverčių apdailos medžiagų;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6.25. Vaistinėlė, gesintuvas ir jų tvirtinimo įtaisai, avarinis ženklas;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 w:rsidP="00A577E6">
            <w:pPr>
              <w:pStyle w:val="Standard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6.26. Normalaus (standartinio) dydžio atsarginis ratas su įrankių komplektu rato pakeitimui.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center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Garantija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spacing w:line="264" w:lineRule="exact"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7.1. Antikorozinė garantija kėbului, nemažiau nei 10 metų;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 w:rsidP="00CA4B6F">
            <w:pPr>
              <w:pStyle w:val="Standard"/>
              <w:widowControl w:val="0"/>
              <w:suppressLineNumbers/>
              <w:snapToGrid w:val="0"/>
              <w:spacing w:line="264" w:lineRule="exact"/>
              <w:jc w:val="both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7.2. Garantija automobiliui ne mažiau 60 mėnesių. Galimas ridos apribojimas ne  mažiau 100 000 km.</w:t>
            </w:r>
          </w:p>
        </w:tc>
      </w:tr>
      <w:tr w:rsidR="004F16F6" w:rsidTr="002E2EEE">
        <w:trPr>
          <w:cantSplit/>
        </w:trPr>
        <w:tc>
          <w:tcPr>
            <w:tcW w:w="89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widowControl w:val="0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7.3. Autoservisas turi būti ne toliau kaip  150 km atstumu nuo Tauragės miesto ribos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(važiuojant trumpiausiu keliu pagal </w:t>
            </w:r>
            <w:hyperlink r:id="rId8">
              <w:r>
                <w:rPr>
                  <w:rStyle w:val="Hipersaitas1"/>
                  <w:rFonts w:ascii="Times New Roman" w:hAnsi="Times New Roman" w:cs="Times New Roman"/>
                  <w:shd w:val="clear" w:color="auto" w:fill="FFFFFF"/>
                </w:rPr>
                <w:t>www.maps.lt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rodmenis).</w:t>
            </w:r>
          </w:p>
        </w:tc>
      </w:tr>
      <w:tr w:rsidR="004F16F6" w:rsidTr="002E2EEE">
        <w:trPr>
          <w:cantSplit/>
        </w:trPr>
        <w:tc>
          <w:tcPr>
            <w:tcW w:w="8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center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Automobilio komplektacija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Kartu su automobilio turi būti pateikiamas teisės aktais nustatytus reikalavimus atitinkantis gesintuvas, pirmos pagalbos rinkinys, avarinio sustojimo ženklas ir liemenė su šviesą atspindinčiais elementais, instrukcijų knyga.</w:t>
            </w:r>
          </w:p>
        </w:tc>
      </w:tr>
      <w:tr w:rsidR="004F16F6" w:rsidTr="002E2EEE">
        <w:trPr>
          <w:cantSplit/>
        </w:trPr>
        <w:tc>
          <w:tcPr>
            <w:tcW w:w="8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center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SimSun, 宋体" w:hAnsi="Times New Roman"/>
                <w:sz w:val="22"/>
                <w:szCs w:val="22"/>
                <w:lang w:eastAsia="ar-SA"/>
              </w:rPr>
              <w:t>Kiti reikalavimai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F6" w:rsidRDefault="004F16F6">
            <w:pPr>
              <w:pStyle w:val="Standard"/>
              <w:widowControl w:val="0"/>
              <w:suppressLineNumbers/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Automobilis turi būti registruotas ir jam atlikta techninė apžiūra. Turi būti galiojanti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tachografo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patikra.</w:t>
            </w:r>
          </w:p>
        </w:tc>
      </w:tr>
    </w:tbl>
    <w:p w:rsidR="008C47DF" w:rsidRDefault="008C47DF">
      <w:pPr>
        <w:pStyle w:val="Standard"/>
        <w:jc w:val="center"/>
      </w:pPr>
    </w:p>
    <w:p w:rsidR="008C47DF" w:rsidRDefault="007F4DEB">
      <w:pPr>
        <w:pStyle w:val="Standard"/>
        <w:jc w:val="center"/>
      </w:pPr>
      <w:r>
        <w:t>_________________</w:t>
      </w:r>
    </w:p>
    <w:sectPr w:rsidR="008C47DF">
      <w:headerReference w:type="default" r:id="rId9"/>
      <w:pgSz w:w="11906" w:h="16838"/>
      <w:pgMar w:top="1134" w:right="1134" w:bottom="1134" w:left="1134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DFB" w:rsidRDefault="00CD7DFB">
      <w:r>
        <w:separator/>
      </w:r>
    </w:p>
  </w:endnote>
  <w:endnote w:type="continuationSeparator" w:id="0">
    <w:p w:rsidR="00CD7DFB" w:rsidRDefault="00CD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DFB" w:rsidRDefault="00CD7DFB">
      <w:r>
        <w:separator/>
      </w:r>
    </w:p>
  </w:footnote>
  <w:footnote w:type="continuationSeparator" w:id="0">
    <w:p w:rsidR="00CD7DFB" w:rsidRDefault="00CD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058406"/>
      <w:docPartObj>
        <w:docPartGallery w:val="Page Numbers (Top of Page)"/>
        <w:docPartUnique/>
      </w:docPartObj>
    </w:sdtPr>
    <w:sdtEndPr/>
    <w:sdtContent>
      <w:p w:rsidR="008C47DF" w:rsidRDefault="007F4DEB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D407D">
          <w:rPr>
            <w:noProof/>
          </w:rPr>
          <w:t>3</w:t>
        </w:r>
        <w:r>
          <w:fldChar w:fldCharType="end"/>
        </w:r>
      </w:p>
    </w:sdtContent>
  </w:sdt>
  <w:p w:rsidR="008C47DF" w:rsidRDefault="008C47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2076"/>
    <w:multiLevelType w:val="multilevel"/>
    <w:tmpl w:val="F2DA5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465A5A"/>
    <w:multiLevelType w:val="multilevel"/>
    <w:tmpl w:val="0602B6B2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A25149"/>
    <w:multiLevelType w:val="multilevel"/>
    <w:tmpl w:val="26503974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8BE0DB0"/>
    <w:multiLevelType w:val="multilevel"/>
    <w:tmpl w:val="77F43694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DF"/>
    <w:rsid w:val="00081938"/>
    <w:rsid w:val="00127FEB"/>
    <w:rsid w:val="001B0D4B"/>
    <w:rsid w:val="002613F2"/>
    <w:rsid w:val="002E2EEE"/>
    <w:rsid w:val="003326C1"/>
    <w:rsid w:val="00367E1B"/>
    <w:rsid w:val="003E73E7"/>
    <w:rsid w:val="00421659"/>
    <w:rsid w:val="00454975"/>
    <w:rsid w:val="004759D1"/>
    <w:rsid w:val="004F16F6"/>
    <w:rsid w:val="004F7793"/>
    <w:rsid w:val="005300FE"/>
    <w:rsid w:val="00594BBC"/>
    <w:rsid w:val="005B3DF1"/>
    <w:rsid w:val="006C4A49"/>
    <w:rsid w:val="00723E2C"/>
    <w:rsid w:val="007E16DA"/>
    <w:rsid w:val="007E2098"/>
    <w:rsid w:val="007F4DEB"/>
    <w:rsid w:val="008C47DF"/>
    <w:rsid w:val="009F3135"/>
    <w:rsid w:val="00A271EA"/>
    <w:rsid w:val="00A577E6"/>
    <w:rsid w:val="00A77E7F"/>
    <w:rsid w:val="00B17674"/>
    <w:rsid w:val="00B4611B"/>
    <w:rsid w:val="00B94FA0"/>
    <w:rsid w:val="00CA4B6F"/>
    <w:rsid w:val="00CD7DFB"/>
    <w:rsid w:val="00DF316D"/>
    <w:rsid w:val="00DF7779"/>
    <w:rsid w:val="00E91DB6"/>
    <w:rsid w:val="00F006D0"/>
    <w:rsid w:val="00FD036D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6710"/>
  <w15:docId w15:val="{294C3EA3-0F9F-4FB4-A2FD-6DA4F406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textAlignment w:val="baseline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eravimosimboliai">
    <w:name w:val="Numeravimo simboliai"/>
    <w:qFormat/>
  </w:style>
  <w:style w:type="character" w:customStyle="1" w:styleId="Hipersaitas1">
    <w:name w:val="Hipersaitas1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61450"/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61450"/>
    <w:rPr>
      <w:rFonts w:cs="Mangal"/>
      <w:szCs w:val="21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Antrat1">
    <w:name w:val="Antraštė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odykl">
    <w:name w:val="Rodyklė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Lentelsturinys">
    <w:name w:val="Lentelės turinys"/>
    <w:basedOn w:val="Standard"/>
    <w:qFormat/>
    <w:pPr>
      <w:suppressLineNumbers/>
    </w:pPr>
  </w:style>
  <w:style w:type="paragraph" w:customStyle="1" w:styleId="Puslapinantratirporat">
    <w:name w:val="Puslapinė antraštė ir poraštė"/>
    <w:basedOn w:val="prastasis"/>
    <w:qFormat/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B61450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orat">
    <w:name w:val="footer"/>
    <w:basedOn w:val="prastasis"/>
    <w:link w:val="PoratDiagrama"/>
    <w:uiPriority w:val="99"/>
    <w:unhideWhenUsed/>
    <w:rsid w:val="00B61450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Comment">
    <w:name w:val="Comment"/>
    <w:basedOn w:val="prastasis"/>
    <w:qFormat/>
    <w:rPr>
      <w:sz w:val="20"/>
      <w:szCs w:val="20"/>
    </w:rPr>
  </w:style>
  <w:style w:type="numbering" w:customStyle="1" w:styleId="WW8Num11">
    <w:name w:val="WW8Num11"/>
    <w:qFormat/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Mangal"/>
      <w:sz w:val="20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3F2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3F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s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B402-7A9E-4F07-9F32-10900359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3922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Lakštinė</dc:creator>
  <dc:description/>
  <cp:lastModifiedBy>Aurelija Lakštinė</cp:lastModifiedBy>
  <cp:revision>27</cp:revision>
  <cp:lastPrinted>2025-10-20T10:47:00Z</cp:lastPrinted>
  <dcterms:created xsi:type="dcterms:W3CDTF">2025-10-15T13:04:00Z</dcterms:created>
  <dcterms:modified xsi:type="dcterms:W3CDTF">2025-10-22T10:56:00Z</dcterms:modified>
  <dc:language>lt-LT</dc:language>
</cp:coreProperties>
</file>