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907C" w14:textId="77777777" w:rsidR="00DC2A91" w:rsidRDefault="00DC2A91" w:rsidP="00DC2A91">
      <w:pPr>
        <w:rPr>
          <w:b/>
          <w:bCs/>
          <w:i/>
          <w:iCs/>
          <w:sz w:val="24"/>
          <w:szCs w:val="24"/>
        </w:rPr>
      </w:pPr>
      <w:r w:rsidRPr="004E4D9D">
        <w:rPr>
          <w:b/>
          <w:bCs/>
          <w:i/>
          <w:iCs/>
          <w:sz w:val="24"/>
          <w:szCs w:val="24"/>
        </w:rPr>
        <w:t>Suinteresuotiems tiekėjams</w:t>
      </w:r>
    </w:p>
    <w:p w14:paraId="3520D6A4" w14:textId="77777777" w:rsidR="00DC2A91" w:rsidRPr="004E4D9D" w:rsidRDefault="00DC2A91" w:rsidP="00DC2A91">
      <w:pPr>
        <w:rPr>
          <w:b/>
          <w:bCs/>
          <w:i/>
          <w:iCs/>
          <w:sz w:val="24"/>
          <w:szCs w:val="24"/>
        </w:rPr>
      </w:pPr>
    </w:p>
    <w:p w14:paraId="47D71324" w14:textId="77777777" w:rsidR="00DC2A91" w:rsidRPr="004E4D9D" w:rsidRDefault="00DC2A91" w:rsidP="00DC2A91">
      <w:pPr>
        <w:pStyle w:val="paragraph"/>
        <w:spacing w:before="0" w:beforeAutospacing="0" w:after="0" w:afterAutospacing="0"/>
        <w:textAlignment w:val="baseline"/>
        <w:rPr>
          <w:rFonts w:ascii="Segoe UI" w:hAnsi="Segoe UI" w:cs="Segoe UI"/>
          <w:sz w:val="18"/>
          <w:szCs w:val="18"/>
        </w:rPr>
      </w:pPr>
      <w:r w:rsidRPr="004E4D9D">
        <w:rPr>
          <w:lang w:val="lt-LT"/>
        </w:rPr>
        <w:tab/>
      </w:r>
      <w:r w:rsidRPr="004E4D9D">
        <w:rPr>
          <w:color w:val="222222"/>
        </w:rPr>
        <w:t>  </w:t>
      </w:r>
    </w:p>
    <w:p w14:paraId="21062372" w14:textId="77777777" w:rsidR="00DC2A91" w:rsidRPr="004E4D9D" w:rsidRDefault="00DC2A91" w:rsidP="00DC2A91">
      <w:pPr>
        <w:shd w:val="clear" w:color="auto" w:fill="FFFFFF"/>
        <w:ind w:firstLine="15"/>
        <w:jc w:val="both"/>
        <w:textAlignment w:val="baseline"/>
        <w:rPr>
          <w:rFonts w:ascii="Segoe UI" w:hAnsi="Segoe UI" w:cs="Segoe UI"/>
          <w:sz w:val="18"/>
          <w:szCs w:val="18"/>
          <w:lang w:val="en-US"/>
        </w:rPr>
      </w:pPr>
      <w:r w:rsidRPr="004E4D9D">
        <w:rPr>
          <w:sz w:val="24"/>
          <w:szCs w:val="24"/>
        </w:rPr>
        <w:t xml:space="preserve">           UAB „Grinda” vykdo pirkimą </w:t>
      </w:r>
      <w:r w:rsidRPr="00000486">
        <w:rPr>
          <w:b/>
          <w:bCs/>
          <w:i/>
          <w:iCs/>
          <w:sz w:val="24"/>
          <w:szCs w:val="24"/>
        </w:rPr>
        <w:t xml:space="preserve">Geotekstilė ir </w:t>
      </w:r>
      <w:proofErr w:type="spellStart"/>
      <w:r w:rsidRPr="00000486">
        <w:rPr>
          <w:b/>
          <w:bCs/>
          <w:i/>
          <w:iCs/>
          <w:sz w:val="24"/>
          <w:szCs w:val="24"/>
        </w:rPr>
        <w:t>geotinklas</w:t>
      </w:r>
      <w:proofErr w:type="spellEnd"/>
      <w:r w:rsidRPr="00000486">
        <w:rPr>
          <w:b/>
          <w:bCs/>
          <w:i/>
          <w:iCs/>
          <w:sz w:val="24"/>
          <w:szCs w:val="24"/>
        </w:rPr>
        <w:t xml:space="preserve"> statybos darbams Nr. 2977 </w:t>
      </w:r>
      <w:r w:rsidRPr="004E4D9D">
        <w:rPr>
          <w:sz w:val="24"/>
          <w:szCs w:val="24"/>
        </w:rPr>
        <w:t xml:space="preserve">(toliau – </w:t>
      </w:r>
      <w:r w:rsidRPr="004E4D9D">
        <w:rPr>
          <w:b/>
          <w:bCs/>
          <w:sz w:val="24"/>
          <w:szCs w:val="24"/>
        </w:rPr>
        <w:t>Pirkimas</w:t>
      </w:r>
      <w:r w:rsidRPr="004E4D9D">
        <w:rPr>
          <w:sz w:val="24"/>
          <w:szCs w:val="24"/>
        </w:rPr>
        <w:t xml:space="preserve">) CVP IS Nr. </w:t>
      </w:r>
      <w:r w:rsidRPr="00000486">
        <w:rPr>
          <w:sz w:val="24"/>
          <w:szCs w:val="24"/>
        </w:rPr>
        <w:t>4980201</w:t>
      </w:r>
      <w:r>
        <w:rPr>
          <w:sz w:val="24"/>
          <w:szCs w:val="24"/>
        </w:rPr>
        <w:t xml:space="preserve"> supaprastinto atviro konkurso </w:t>
      </w:r>
      <w:r w:rsidRPr="004E4D9D">
        <w:rPr>
          <w:sz w:val="24"/>
          <w:szCs w:val="24"/>
        </w:rPr>
        <w:t xml:space="preserve"> būdu.</w:t>
      </w:r>
      <w:r w:rsidRPr="004E4D9D">
        <w:rPr>
          <w:sz w:val="24"/>
          <w:szCs w:val="24"/>
          <w:lang w:val="en-US"/>
        </w:rPr>
        <w:t> </w:t>
      </w:r>
    </w:p>
    <w:p w14:paraId="038A9E51" w14:textId="77777777" w:rsidR="00DC2A91" w:rsidRPr="004E4D9D" w:rsidRDefault="00DC2A91" w:rsidP="00DC2A91">
      <w:pPr>
        <w:ind w:firstLine="720"/>
        <w:jc w:val="both"/>
        <w:textAlignment w:val="baseline"/>
        <w:rPr>
          <w:rFonts w:ascii="Segoe UI" w:hAnsi="Segoe UI" w:cs="Segoe UI"/>
          <w:sz w:val="18"/>
          <w:szCs w:val="18"/>
          <w:lang w:val="en-US"/>
        </w:rPr>
      </w:pPr>
      <w:r w:rsidRPr="004E4D9D">
        <w:rPr>
          <w:sz w:val="24"/>
          <w:szCs w:val="24"/>
        </w:rPr>
        <w:t>Informuojame, kad gautas (-i) šis (-</w:t>
      </w:r>
      <w:proofErr w:type="spellStart"/>
      <w:r w:rsidRPr="004E4D9D">
        <w:rPr>
          <w:sz w:val="24"/>
          <w:szCs w:val="24"/>
        </w:rPr>
        <w:t>ie</w:t>
      </w:r>
      <w:proofErr w:type="spellEnd"/>
      <w:r w:rsidRPr="004E4D9D">
        <w:rPr>
          <w:sz w:val="24"/>
          <w:szCs w:val="24"/>
        </w:rPr>
        <w:t>) tiekėjo (-jų) klausimas (-ai), teikiame atsakymą (-</w:t>
      </w:r>
      <w:proofErr w:type="spellStart"/>
      <w:r w:rsidRPr="004E4D9D">
        <w:rPr>
          <w:sz w:val="24"/>
          <w:szCs w:val="24"/>
        </w:rPr>
        <w:t>us</w:t>
      </w:r>
      <w:proofErr w:type="spellEnd"/>
      <w:r w:rsidRPr="004E4D9D">
        <w:rPr>
          <w:sz w:val="24"/>
          <w:szCs w:val="24"/>
        </w:rPr>
        <w:t>) į j</w:t>
      </w:r>
      <w:r>
        <w:rPr>
          <w:sz w:val="24"/>
          <w:szCs w:val="24"/>
        </w:rPr>
        <w:t>uos</w:t>
      </w:r>
      <w:r w:rsidRPr="004E4D9D">
        <w:rPr>
          <w:sz w:val="24"/>
          <w:szCs w:val="24"/>
        </w:rPr>
        <w:t>:</w:t>
      </w:r>
      <w:r w:rsidRPr="004E4D9D">
        <w:rPr>
          <w:sz w:val="24"/>
          <w:szCs w:val="24"/>
          <w:lang w:val="en-US"/>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52"/>
        <w:gridCol w:w="4770"/>
      </w:tblGrid>
      <w:tr w:rsidR="00DC2A91" w:rsidRPr="004E4D9D" w14:paraId="6FBF0D73" w14:textId="77777777" w:rsidTr="009A2FFF">
        <w:trPr>
          <w:trHeight w:val="300"/>
        </w:trPr>
        <w:tc>
          <w:tcPr>
            <w:tcW w:w="4852" w:type="dxa"/>
            <w:tcBorders>
              <w:top w:val="single" w:sz="6" w:space="0" w:color="auto"/>
              <w:left w:val="single" w:sz="6" w:space="0" w:color="auto"/>
              <w:bottom w:val="single" w:sz="6" w:space="0" w:color="auto"/>
              <w:right w:val="single" w:sz="6" w:space="0" w:color="auto"/>
            </w:tcBorders>
            <w:hideMark/>
          </w:tcPr>
          <w:p w14:paraId="77E82AFE" w14:textId="77777777" w:rsidR="00DC2A91" w:rsidRPr="00000486" w:rsidRDefault="00DC2A91" w:rsidP="009A2FFF">
            <w:pPr>
              <w:jc w:val="center"/>
              <w:textAlignment w:val="baseline"/>
              <w:rPr>
                <w:sz w:val="24"/>
                <w:szCs w:val="24"/>
              </w:rPr>
            </w:pPr>
            <w:r w:rsidRPr="00000486">
              <w:rPr>
                <w:b/>
                <w:bCs/>
                <w:sz w:val="24"/>
                <w:szCs w:val="24"/>
              </w:rPr>
              <w:t>Klausimai</w:t>
            </w:r>
            <w:r w:rsidRPr="00000486">
              <w:rPr>
                <w:sz w:val="24"/>
                <w:szCs w:val="24"/>
              </w:rPr>
              <w:t> </w:t>
            </w:r>
          </w:p>
        </w:tc>
        <w:tc>
          <w:tcPr>
            <w:tcW w:w="4770" w:type="dxa"/>
            <w:tcBorders>
              <w:top w:val="single" w:sz="6" w:space="0" w:color="auto"/>
              <w:left w:val="single" w:sz="6" w:space="0" w:color="auto"/>
              <w:bottom w:val="single" w:sz="6" w:space="0" w:color="auto"/>
              <w:right w:val="single" w:sz="6" w:space="0" w:color="auto"/>
            </w:tcBorders>
            <w:hideMark/>
          </w:tcPr>
          <w:p w14:paraId="20C63A80" w14:textId="77777777" w:rsidR="00DC2A91" w:rsidRPr="004E4D9D" w:rsidRDefault="00DC2A91" w:rsidP="009A2FFF">
            <w:pPr>
              <w:jc w:val="center"/>
              <w:textAlignment w:val="baseline"/>
              <w:rPr>
                <w:sz w:val="24"/>
                <w:szCs w:val="24"/>
                <w:lang w:val="en-US"/>
              </w:rPr>
            </w:pPr>
            <w:r w:rsidRPr="004E4D9D">
              <w:rPr>
                <w:b/>
                <w:bCs/>
                <w:sz w:val="24"/>
                <w:szCs w:val="24"/>
              </w:rPr>
              <w:t>Atsakymas</w:t>
            </w:r>
            <w:r w:rsidRPr="004E4D9D">
              <w:rPr>
                <w:sz w:val="24"/>
                <w:szCs w:val="24"/>
                <w:lang w:val="en-US"/>
              </w:rPr>
              <w:t> </w:t>
            </w:r>
          </w:p>
        </w:tc>
      </w:tr>
      <w:tr w:rsidR="00DC2A91" w:rsidRPr="004E4D9D" w14:paraId="47C141B4" w14:textId="77777777" w:rsidTr="009A2FFF">
        <w:trPr>
          <w:trHeight w:val="300"/>
        </w:trPr>
        <w:tc>
          <w:tcPr>
            <w:tcW w:w="4852" w:type="dxa"/>
            <w:tcBorders>
              <w:top w:val="single" w:sz="6" w:space="0" w:color="auto"/>
              <w:left w:val="single" w:sz="6" w:space="0" w:color="auto"/>
              <w:bottom w:val="single" w:sz="6" w:space="0" w:color="auto"/>
              <w:right w:val="single" w:sz="6" w:space="0" w:color="auto"/>
            </w:tcBorders>
            <w:hideMark/>
          </w:tcPr>
          <w:p w14:paraId="0F73E386" w14:textId="77777777" w:rsidR="00DC2A91" w:rsidRPr="00000486" w:rsidRDefault="00DC2A91" w:rsidP="009A2FFF">
            <w:pPr>
              <w:jc w:val="both"/>
              <w:textAlignment w:val="baseline"/>
              <w:rPr>
                <w:sz w:val="24"/>
                <w:szCs w:val="24"/>
              </w:rPr>
            </w:pPr>
            <w:r w:rsidRPr="00000486">
              <w:rPr>
                <w:sz w:val="24"/>
                <w:szCs w:val="24"/>
              </w:rPr>
              <w:t>DĖL SUTARTIES PAPILDYMO/PAKEITIMO</w:t>
            </w:r>
          </w:p>
          <w:p w14:paraId="6BEC5123" w14:textId="77777777" w:rsidR="00DC2A91" w:rsidRPr="00000486" w:rsidRDefault="00DC2A91" w:rsidP="009A2FFF">
            <w:pPr>
              <w:jc w:val="both"/>
              <w:textAlignment w:val="baseline"/>
              <w:rPr>
                <w:sz w:val="24"/>
                <w:szCs w:val="24"/>
              </w:rPr>
            </w:pPr>
            <w:r w:rsidRPr="00000486">
              <w:rPr>
                <w:sz w:val="24"/>
                <w:szCs w:val="24"/>
              </w:rPr>
              <w:t>SUTARTIES SPECIALIOSIOS SĄLYGOS</w:t>
            </w:r>
          </w:p>
          <w:p w14:paraId="63F1942A" w14:textId="77777777" w:rsidR="00DC2A91" w:rsidRPr="00000486" w:rsidRDefault="00DC2A91" w:rsidP="009A2FFF">
            <w:pPr>
              <w:jc w:val="both"/>
              <w:textAlignment w:val="baseline"/>
              <w:rPr>
                <w:sz w:val="24"/>
                <w:szCs w:val="24"/>
              </w:rPr>
            </w:pPr>
            <w:r w:rsidRPr="00000486">
              <w:rPr>
                <w:sz w:val="24"/>
                <w:szCs w:val="24"/>
              </w:rPr>
              <w:t>9.3.1. Nutraukus Sutartį dėl esminio Sutarties pažeidimo, nustatyto Sutarties Specialiosiose sąlygose, mokama 10  procentų dydžio bauda nuo Pradinės Sutarties vertės be PVM, nurodytos Specialiųjų sąlygų 5.2 punkte.</w:t>
            </w:r>
          </w:p>
          <w:p w14:paraId="45CDF130" w14:textId="77777777" w:rsidR="00DC2A91" w:rsidRPr="00000486" w:rsidRDefault="00DC2A91" w:rsidP="009A2FFF">
            <w:pPr>
              <w:jc w:val="both"/>
              <w:textAlignment w:val="baseline"/>
              <w:rPr>
                <w:sz w:val="24"/>
                <w:szCs w:val="24"/>
              </w:rPr>
            </w:pPr>
            <w:r w:rsidRPr="00000486">
              <w:rPr>
                <w:sz w:val="24"/>
                <w:szCs w:val="24"/>
              </w:rPr>
              <w:t>10% bauda yra nepagrįstai didelė. Be to, ši formuluotė leistų pareikalauti visos baudos net jei 99% sutarties jau būtų tinkamai įvykdyta. Prašome sumažinti baudą iki 5% ir išdėstyti punktą taip: Nutraukus Sutartį dėl esminio Sutarties pažeidimo, nustatyto Sutarties Specialiosiose sąlygose, mokama 5 procentų dydžio bauda nuo neišpirkto Sutarties likučio, apskaičiuojamo iš Pradinės Sutarties vertės be PVM, nurodytos Specialiųjų sąlygų 5.2 punkte, atėmus iki Sutarties nutraukimo įvykdytų užsakymų sumą be PVM.</w:t>
            </w:r>
          </w:p>
        </w:tc>
        <w:tc>
          <w:tcPr>
            <w:tcW w:w="4770" w:type="dxa"/>
            <w:tcBorders>
              <w:top w:val="single" w:sz="6" w:space="0" w:color="auto"/>
              <w:left w:val="single" w:sz="6" w:space="0" w:color="auto"/>
              <w:bottom w:val="single" w:sz="6" w:space="0" w:color="auto"/>
              <w:right w:val="single" w:sz="6" w:space="0" w:color="auto"/>
            </w:tcBorders>
            <w:hideMark/>
          </w:tcPr>
          <w:p w14:paraId="08AAA7CA"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Pažymime, kad Sutarties specialiųjų sąlygų nuostata dėl 10 proc. baudos už esminį sutarties pažeidimą yra teisėta dėl trijų pagrindinių priežasčių:</w:t>
            </w:r>
            <w:r>
              <w:rPr>
                <w:rStyle w:val="eop"/>
              </w:rPr>
              <w:t> </w:t>
            </w:r>
          </w:p>
          <w:p w14:paraId="15F3B2B2" w14:textId="77777777" w:rsidR="00DC2A91" w:rsidRDefault="00DC2A91" w:rsidP="00DC2A91">
            <w:pPr>
              <w:pStyle w:val="paragraph"/>
              <w:numPr>
                <w:ilvl w:val="0"/>
                <w:numId w:val="1"/>
              </w:numPr>
              <w:spacing w:before="0" w:beforeAutospacing="0" w:after="0" w:afterAutospacing="0"/>
              <w:ind w:left="90" w:firstLine="0"/>
              <w:jc w:val="both"/>
              <w:textAlignment w:val="baseline"/>
            </w:pPr>
            <w:r>
              <w:rPr>
                <w:rStyle w:val="normaltextrun"/>
                <w:lang w:val="lt-LT"/>
              </w:rPr>
              <w:t>Nuostata yra perkelta iš VPT patvirtintos tipinės sutarties, kurios sąlygos privalomos taikant supaprastintus ir tarptautinius viešuosius pirkimus;</w:t>
            </w:r>
            <w:r>
              <w:rPr>
                <w:rStyle w:val="eop"/>
              </w:rPr>
              <w:t> </w:t>
            </w:r>
          </w:p>
          <w:p w14:paraId="411B26FD" w14:textId="77777777" w:rsidR="00DC2A91" w:rsidRDefault="00DC2A91" w:rsidP="00DC2A91">
            <w:pPr>
              <w:pStyle w:val="paragraph"/>
              <w:numPr>
                <w:ilvl w:val="0"/>
                <w:numId w:val="2"/>
              </w:numPr>
              <w:spacing w:before="0" w:beforeAutospacing="0" w:after="0" w:afterAutospacing="0"/>
              <w:ind w:left="90" w:firstLine="0"/>
              <w:jc w:val="both"/>
              <w:textAlignment w:val="baseline"/>
            </w:pPr>
            <w:r>
              <w:rPr>
                <w:rStyle w:val="normaltextrun"/>
                <w:lang w:val="lt-LT"/>
              </w:rPr>
              <w:t>Bauda taikoma tik už esminį sutarties pažeidimą, t. y. tokius pažeidimus, dėl kurių perkančioji organizacija iš esmės negauna to, ko pagrįstai tikėjosi iš sutarties (Civilinio kodekso 6.217 straipsnio 2 dalis);</w:t>
            </w:r>
            <w:r>
              <w:rPr>
                <w:rStyle w:val="eop"/>
              </w:rPr>
              <w:t> </w:t>
            </w:r>
          </w:p>
          <w:p w14:paraId="49B386F6" w14:textId="77777777" w:rsidR="00DC2A91" w:rsidRDefault="00DC2A91" w:rsidP="00DC2A91">
            <w:pPr>
              <w:pStyle w:val="paragraph"/>
              <w:numPr>
                <w:ilvl w:val="0"/>
                <w:numId w:val="3"/>
              </w:numPr>
              <w:spacing w:before="0" w:beforeAutospacing="0" w:after="0" w:afterAutospacing="0"/>
              <w:ind w:left="90" w:firstLine="0"/>
              <w:jc w:val="both"/>
              <w:textAlignment w:val="baseline"/>
            </w:pPr>
            <w:r>
              <w:rPr>
                <w:rStyle w:val="normaltextrun"/>
                <w:lang w:val="lt-LT"/>
              </w:rPr>
              <w:t>Nustatytas baudos dydis neprieštarauja galiojantiems teisės aktams, o teismų praktikoje esminio pažeidimo atvejais nurodomi panašūs baudų rėžiai.</w:t>
            </w:r>
            <w:r>
              <w:rPr>
                <w:rStyle w:val="eop"/>
              </w:rPr>
              <w:t> </w:t>
            </w:r>
          </w:p>
          <w:p w14:paraId="074D570C"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Atsižvelgiant į Lietuvos Respublikos viešųjų pirkimų įstatymo (toliau – VPĮ) 87 straipsnio 1 dalį, pažymėtina, kad viešojo pirkimo–pardavimo sutartys sudaromos taikant Viešųjų pirkimų tarnybos (toliau – VPT) patvirtintas tipines pirkimo sutarčių sąlygas, išskyrus įstatyme nustatytus atvejus.</w:t>
            </w:r>
            <w:r>
              <w:rPr>
                <w:rStyle w:val="eop"/>
              </w:rPr>
              <w:t> </w:t>
            </w:r>
          </w:p>
          <w:p w14:paraId="3D112C5E"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Informuojame, kad prekių sutarties sąlygos yra patvirtintos ir privalomos nuo 2024 m. kovo 1 d. </w:t>
            </w:r>
            <w:hyperlink r:id="rId5" w:tgtFrame="_blank" w:history="1">
              <w:r>
                <w:rPr>
                  <w:rStyle w:val="normaltextrun"/>
                  <w:color w:val="467886"/>
                  <w:u w:val="single"/>
                  <w:lang w:val="lt-LT"/>
                </w:rPr>
                <w:t>https://vpt.lrv.lt/lt/naujienos-3/patvirtintos-tipines-prekiu-sutarties-salygos-bus-privalomos-nuo-…</w:t>
              </w:r>
            </w:hyperlink>
            <w:r>
              <w:rPr>
                <w:rStyle w:val="normaltextrun"/>
                <w:lang w:val="lt-LT"/>
              </w:rPr>
              <w:t>. Minėtos sutarties sąlygos yra privalomos vykdant tiek supaprastintus, tiek tarptautinius viešuosius pirkimus. Todėl Sutarties specialiųjų sąlygų 9.3.1 punkte įtvirtinta nuostata yra perkelta iš VPT patvirtintos tipinės sutarties ir turi būti taikoma vadovaujantis privalomaisiais tipinės sutarties reikalavimais.</w:t>
            </w:r>
            <w:r>
              <w:rPr>
                <w:rStyle w:val="eop"/>
              </w:rPr>
              <w:t> </w:t>
            </w:r>
          </w:p>
          <w:p w14:paraId="56DFF727"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 xml:space="preserve">Atsakant į tiekėjo pastabą dėl galimybės taikyti baudą už esminį sutarties pažeidimą net ir tada, kai, pavyzdžiui, įvykdyta 99 proc. sutarties </w:t>
            </w:r>
            <w:r>
              <w:rPr>
                <w:rStyle w:val="normaltextrun"/>
                <w:lang w:val="lt-LT"/>
              </w:rPr>
              <w:lastRenderedPageBreak/>
              <w:t>apimties, pažymėtina, kad tokia situacija nebūtų laikoma esminiu sutarties pažeidimu.</w:t>
            </w:r>
            <w:r>
              <w:rPr>
                <w:rStyle w:val="eop"/>
              </w:rPr>
              <w:t> </w:t>
            </w:r>
          </w:p>
          <w:p w14:paraId="6919674F"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Vadovaujantis Civilinio kodekso (toliau – CK) 6.217 straipsnio 2 dalimi, esminiu sutarties pažeidimu laikytini tik tokie atvejai, kai tiekėjo veiksmai ar neveikimas iš esmės sutrikdo sutarties tikslų įgyvendinimą – t. y. kai perkančioji organizacija nebegali pasiekti sutartimi siekiamo rezultato (pvz., prekės netinkamos, pristatytos per vėlai, nes atitinkamas laikotarpis pasibaigė ir t. t.).</w:t>
            </w:r>
            <w:r>
              <w:rPr>
                <w:rStyle w:val="eop"/>
              </w:rPr>
              <w:t> </w:t>
            </w:r>
          </w:p>
          <w:p w14:paraId="0E9D413B"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Tuo tarpu atvejis, kai tiekėjas tinkamai įvykdo 99 proc. sutarties, o likusi dalis nepadaro esminės įtakos pirkimo tikslui, negali būti kvalifikuojamas kaip esminis pažeidimas. Tokiu atveju galėtų būti taikomos kitos sutartyje numatytos priemonės (pvz., delspinigiai ar proporcinga bauda už vėlavimą), bet ne esminio pažeidimo bauda.</w:t>
            </w:r>
            <w:r>
              <w:rPr>
                <w:rStyle w:val="eop"/>
              </w:rPr>
              <w:t> </w:t>
            </w:r>
          </w:p>
          <w:p w14:paraId="41DC2DC1"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Todėl tiekėjui nereikėtų manyti, kad 10 proc. bauda gali būti taikoma už bet kokį, net ir mažareikšmį pažeidimą. Ši sankcija skirta tik ypatingiems atvejams, kai pažeidimas pagal savo pobūdį atitinka CK 6.217 straipsnio 2 dalyje apibrėžtus esminio pažeidimo kriterijus.</w:t>
            </w:r>
            <w:r>
              <w:rPr>
                <w:rStyle w:val="eop"/>
              </w:rPr>
              <w:t> </w:t>
            </w:r>
          </w:p>
          <w:p w14:paraId="36D41D3B"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lang w:val="lt-LT"/>
              </w:rPr>
              <w:t>Atkreipiamas dėmesys, kad pagal nuosekliai ir aiškiai suformuotą Lietuvos Aukščiausiojo Teismo praktiką, perkančiajai organizacijai nedraudžiama pirkimo dokumentuose nusistatyti sąlygas, neprieštaraujančias imperatyvioms teisės aktų nuostatoms. Šiuo atveju 10 proc. dydžio bauda nuo pradinės sutarties vertės yra proporcinga ir veiksminga (</w:t>
            </w:r>
            <w:hyperlink r:id="rId6" w:tgtFrame="_blank" w:history="1">
              <w:r>
                <w:rPr>
                  <w:rStyle w:val="normaltextrun"/>
                  <w:color w:val="467886"/>
                  <w:u w:val="single"/>
                  <w:lang w:val="lt-LT"/>
                </w:rPr>
                <w:t>https://klausk.vpt.lt/hc/lt/articles/360016431019-112-straipsnis-Alternatyvios-sankcijos-ir-j%C5%B3-taikymas</w:t>
              </w:r>
            </w:hyperlink>
            <w:r>
              <w:rPr>
                <w:rStyle w:val="normaltextrun"/>
                <w:lang w:val="lt-LT"/>
              </w:rPr>
              <w:t xml:space="preserve">, </w:t>
            </w:r>
            <w:r>
              <w:rPr>
                <w:rStyle w:val="normaltextrun"/>
              </w:rPr>
              <w:t xml:space="preserve">Lietuvos </w:t>
            </w:r>
            <w:proofErr w:type="spellStart"/>
            <w:r>
              <w:rPr>
                <w:rStyle w:val="normaltextrun"/>
              </w:rPr>
              <w:t>Aukščiausiojo</w:t>
            </w:r>
            <w:proofErr w:type="spellEnd"/>
            <w:r>
              <w:rPr>
                <w:rStyle w:val="normaltextrun"/>
              </w:rPr>
              <w:t xml:space="preserve"> </w:t>
            </w:r>
            <w:proofErr w:type="spellStart"/>
            <w:r>
              <w:rPr>
                <w:rStyle w:val="normaltextrun"/>
              </w:rPr>
              <w:t>Teismo</w:t>
            </w:r>
            <w:proofErr w:type="spellEnd"/>
            <w:r>
              <w:rPr>
                <w:rStyle w:val="normaltextrun"/>
              </w:rPr>
              <w:t xml:space="preserve"> </w:t>
            </w:r>
            <w:proofErr w:type="spellStart"/>
            <w:r>
              <w:rPr>
                <w:rStyle w:val="normaltextrun"/>
              </w:rPr>
              <w:t>Civilinių</w:t>
            </w:r>
            <w:proofErr w:type="spellEnd"/>
            <w:r>
              <w:rPr>
                <w:rStyle w:val="normaltextrun"/>
              </w:rPr>
              <w:t xml:space="preserve"> </w:t>
            </w:r>
            <w:proofErr w:type="spellStart"/>
            <w:r>
              <w:rPr>
                <w:rStyle w:val="normaltextrun"/>
              </w:rPr>
              <w:t>bylų</w:t>
            </w:r>
            <w:proofErr w:type="spellEnd"/>
            <w:r>
              <w:rPr>
                <w:rStyle w:val="normaltextrun"/>
              </w:rPr>
              <w:t xml:space="preserve"> </w:t>
            </w:r>
            <w:proofErr w:type="spellStart"/>
            <w:r>
              <w:rPr>
                <w:rStyle w:val="normaltextrun"/>
              </w:rPr>
              <w:t>skyriaus</w:t>
            </w:r>
            <w:proofErr w:type="spellEnd"/>
            <w:r>
              <w:rPr>
                <w:rStyle w:val="normaltextrun"/>
              </w:rPr>
              <w:t xml:space="preserve"> 2015 m. </w:t>
            </w:r>
            <w:proofErr w:type="spellStart"/>
            <w:r>
              <w:rPr>
                <w:rStyle w:val="normaltextrun"/>
              </w:rPr>
              <w:t>liepos</w:t>
            </w:r>
            <w:proofErr w:type="spellEnd"/>
            <w:r>
              <w:rPr>
                <w:rStyle w:val="normaltextrun"/>
              </w:rPr>
              <w:t xml:space="preserve"> 2 d. </w:t>
            </w:r>
            <w:proofErr w:type="spellStart"/>
            <w:r>
              <w:rPr>
                <w:rStyle w:val="normaltextrun"/>
              </w:rPr>
              <w:t>nutartis</w:t>
            </w:r>
            <w:proofErr w:type="spellEnd"/>
            <w:r>
              <w:rPr>
                <w:rStyle w:val="normaltextrun"/>
              </w:rPr>
              <w:t xml:space="preserve"> </w:t>
            </w:r>
            <w:proofErr w:type="spellStart"/>
            <w:r>
              <w:rPr>
                <w:rStyle w:val="normaltextrun"/>
              </w:rPr>
              <w:t>civilinėje</w:t>
            </w:r>
            <w:proofErr w:type="spellEnd"/>
            <w:r>
              <w:rPr>
                <w:rStyle w:val="normaltextrun"/>
              </w:rPr>
              <w:t xml:space="preserve"> </w:t>
            </w:r>
            <w:proofErr w:type="spellStart"/>
            <w:r>
              <w:rPr>
                <w:rStyle w:val="normaltextrun"/>
              </w:rPr>
              <w:t>byloje</w:t>
            </w:r>
            <w:proofErr w:type="spellEnd"/>
            <w:r>
              <w:rPr>
                <w:rStyle w:val="normaltextrun"/>
              </w:rPr>
              <w:t xml:space="preserve"> Nr. 3K-3-440-415/2015)</w:t>
            </w:r>
            <w:r>
              <w:rPr>
                <w:rStyle w:val="eop"/>
              </w:rPr>
              <w:t> </w:t>
            </w:r>
          </w:p>
          <w:p w14:paraId="02722B4B" w14:textId="77777777" w:rsidR="00DC2A91" w:rsidRDefault="00DC2A91" w:rsidP="009A2FFF">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lang w:val="lt-LT"/>
              </w:rPr>
              <w:t>Atsižvelgiant į tai, kas nurodyta, nuostata yra teisėta, proporcinga ir pagrįsta, o jos taikymas atitinka tiek VPĮ, tiek CK nuostatas bei viešųjų pirkimų principus, todėl nėra pagrindo ją naikinti ar keisti.</w:t>
            </w:r>
            <w:r>
              <w:rPr>
                <w:rStyle w:val="eop"/>
              </w:rPr>
              <w:t>  </w:t>
            </w:r>
          </w:p>
          <w:p w14:paraId="70F37AF7" w14:textId="77777777" w:rsidR="00DC2A91" w:rsidRPr="004E4D9D" w:rsidRDefault="00DC2A91" w:rsidP="009A2FFF">
            <w:pPr>
              <w:jc w:val="both"/>
              <w:textAlignment w:val="baseline"/>
              <w:rPr>
                <w:noProof/>
                <w:sz w:val="24"/>
                <w:szCs w:val="24"/>
              </w:rPr>
            </w:pPr>
          </w:p>
        </w:tc>
      </w:tr>
      <w:tr w:rsidR="00DC2A91" w:rsidRPr="004E4D9D" w14:paraId="142B0958" w14:textId="77777777" w:rsidTr="009A2FFF">
        <w:trPr>
          <w:trHeight w:val="300"/>
        </w:trPr>
        <w:tc>
          <w:tcPr>
            <w:tcW w:w="4852" w:type="dxa"/>
            <w:tcBorders>
              <w:top w:val="single" w:sz="6" w:space="0" w:color="auto"/>
              <w:left w:val="single" w:sz="6" w:space="0" w:color="auto"/>
              <w:bottom w:val="single" w:sz="6" w:space="0" w:color="auto"/>
              <w:right w:val="single" w:sz="6" w:space="0" w:color="auto"/>
            </w:tcBorders>
          </w:tcPr>
          <w:p w14:paraId="5C027D6A" w14:textId="77777777" w:rsidR="00DC2A91" w:rsidRPr="00000486" w:rsidRDefault="00DC2A91" w:rsidP="009A2FFF">
            <w:pPr>
              <w:jc w:val="both"/>
              <w:textAlignment w:val="baseline"/>
              <w:rPr>
                <w:sz w:val="24"/>
                <w:szCs w:val="24"/>
              </w:rPr>
            </w:pPr>
            <w:r w:rsidRPr="00000486">
              <w:rPr>
                <w:sz w:val="24"/>
                <w:szCs w:val="24"/>
              </w:rPr>
              <w:lastRenderedPageBreak/>
              <w:t>9.3.2. Nepagrįstai nutraukus Sutarties vykdymą ne Sutartyje nustatyta tvarka, mokama 5 procentų dydžio bauda nuo Pradinės Sutarties vertės, nurodytos Specialiųjų sąlygų 5.2 punkte.</w:t>
            </w:r>
          </w:p>
          <w:p w14:paraId="66924258" w14:textId="77777777" w:rsidR="00DC2A91" w:rsidRPr="00000486" w:rsidRDefault="00DC2A91" w:rsidP="009A2FFF">
            <w:pPr>
              <w:jc w:val="both"/>
              <w:textAlignment w:val="baseline"/>
              <w:rPr>
                <w:sz w:val="24"/>
                <w:szCs w:val="24"/>
              </w:rPr>
            </w:pPr>
            <w:r w:rsidRPr="00000486">
              <w:rPr>
                <w:sz w:val="24"/>
                <w:szCs w:val="24"/>
              </w:rPr>
              <w:t>Šis punktas palieka daug klausimų ir būtų sudėtinga jį pritaikyti be paaiškinimo, pavyzdžiui, kada jau bus laikoma, kad sutarties vykdymas nepagrįstai nutrauktas? Kokios priežastys būtų laikomos pagrįstu sutarties vykdymo nutraukimu? Kuo nepagrįstas sutarties vykdymo nutraukimas skirtųsi nuo sutarties nutraukimo? Ar nutraukus sutartį po „nepagrįsto vykdymo nutraukimo“ būtų taikomos dar ir 9.3.1. nustatytos netesybos? Prašome išbraukti šį punktą kaip neaiškų.</w:t>
            </w:r>
          </w:p>
        </w:tc>
        <w:tc>
          <w:tcPr>
            <w:tcW w:w="4770" w:type="dxa"/>
            <w:tcBorders>
              <w:top w:val="single" w:sz="6" w:space="0" w:color="auto"/>
              <w:left w:val="single" w:sz="6" w:space="0" w:color="auto"/>
              <w:bottom w:val="single" w:sz="6" w:space="0" w:color="auto"/>
              <w:right w:val="single" w:sz="6" w:space="0" w:color="auto"/>
            </w:tcBorders>
          </w:tcPr>
          <w:p w14:paraId="140806F5" w14:textId="77777777" w:rsidR="00DC2A91" w:rsidRPr="00A93146" w:rsidRDefault="00DC2A91" w:rsidP="009A2FFF">
            <w:pPr>
              <w:jc w:val="both"/>
              <w:textAlignment w:val="baseline"/>
              <w:rPr>
                <w:noProof/>
                <w:sz w:val="24"/>
                <w:szCs w:val="24"/>
              </w:rPr>
            </w:pPr>
            <w:r w:rsidRPr="00A93146">
              <w:rPr>
                <w:noProof/>
                <w:sz w:val="24"/>
                <w:szCs w:val="24"/>
              </w:rPr>
              <w:t xml:space="preserve">Sutarties specialiųjų sąlygų 9.3.2 punkte įtvirtinta nuostata yra perkelta iš VPT patvirtintos tipinės sutarties (žr. atsakymą dėl 9.3.1. p.). Tai reiškia, kad perkančioji organizacija privalo laikytis tipinėse sutartyse numatytų sąlygų, kurios gali apimti nuostatas dėl tiekėjo atsakomybės už sutarties vykdymo nutraukimą nesilaikant nustatytos tvarkos.  </w:t>
            </w:r>
          </w:p>
          <w:p w14:paraId="12FFA871" w14:textId="77777777" w:rsidR="00DC2A91" w:rsidRPr="00A93146" w:rsidRDefault="00DC2A91" w:rsidP="009A2FFF">
            <w:pPr>
              <w:jc w:val="both"/>
              <w:textAlignment w:val="baseline"/>
              <w:rPr>
                <w:noProof/>
                <w:sz w:val="24"/>
                <w:szCs w:val="24"/>
              </w:rPr>
            </w:pPr>
            <w:r w:rsidRPr="00A93146">
              <w:rPr>
                <w:noProof/>
                <w:sz w:val="24"/>
                <w:szCs w:val="24"/>
              </w:rPr>
              <w:t xml:space="preserve">Minėtas punktas referuoja į situaciją, kai tiekėjas laikinai arba iš dalies nutraukia sutarties vykdymą, bet sutartis formaliai tebėra galiojanti. Nepagrįstas sutarties vykdymo nutraukimas reiškia, kad tiekėjas nutraukia sutartį be teisėto pagrindo arba nesilaikydamas sutartyje nustatytų procedūrų (pvz., nesuteikiant pranešimo, nesilaikant terminų).  </w:t>
            </w:r>
          </w:p>
          <w:p w14:paraId="74EDBCCE" w14:textId="77777777" w:rsidR="00DC2A91" w:rsidRPr="00A93146" w:rsidRDefault="00DC2A91" w:rsidP="009A2FFF">
            <w:pPr>
              <w:jc w:val="both"/>
              <w:textAlignment w:val="baseline"/>
              <w:rPr>
                <w:noProof/>
                <w:sz w:val="24"/>
                <w:szCs w:val="24"/>
              </w:rPr>
            </w:pPr>
            <w:r w:rsidRPr="00A93146">
              <w:rPr>
                <w:noProof/>
                <w:sz w:val="24"/>
                <w:szCs w:val="24"/>
              </w:rPr>
              <w:t>Pažymėtina, kad motyvai, kuriais remiantis galėtų būti keičiamos tipinių sutarčių nuostatos, turi būti logiški, protingi, objektyvūs ir pagrįsti svariais argumentais (pvz. prieštaravimais imperatyvioms teisės aktų normoms). Šiuo atveju n</w:t>
            </w:r>
            <w:r>
              <w:rPr>
                <w:noProof/>
                <w:sz w:val="24"/>
                <w:szCs w:val="24"/>
              </w:rPr>
              <w:t>ėra</w:t>
            </w:r>
            <w:r w:rsidRPr="00A93146">
              <w:rPr>
                <w:noProof/>
                <w:sz w:val="24"/>
                <w:szCs w:val="24"/>
              </w:rPr>
              <w:t xml:space="preserve"> pagrindo šią nuostatą keisti.</w:t>
            </w:r>
          </w:p>
          <w:p w14:paraId="5F712F28" w14:textId="77777777" w:rsidR="00DC2A91" w:rsidRPr="004E4D9D" w:rsidRDefault="00DC2A91" w:rsidP="009A2FFF">
            <w:pPr>
              <w:jc w:val="both"/>
              <w:textAlignment w:val="baseline"/>
              <w:rPr>
                <w:noProof/>
                <w:sz w:val="24"/>
                <w:szCs w:val="24"/>
              </w:rPr>
            </w:pPr>
          </w:p>
        </w:tc>
      </w:tr>
    </w:tbl>
    <w:p w14:paraId="28A7EF56" w14:textId="77777777" w:rsidR="000848FC" w:rsidRDefault="000848FC"/>
    <w:sectPr w:rsidR="00084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06A3"/>
    <w:multiLevelType w:val="multilevel"/>
    <w:tmpl w:val="A498C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2F66B4"/>
    <w:multiLevelType w:val="multilevel"/>
    <w:tmpl w:val="8C12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463911"/>
    <w:multiLevelType w:val="multilevel"/>
    <w:tmpl w:val="FCB43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319687">
    <w:abstractNumId w:val="1"/>
  </w:num>
  <w:num w:numId="2" w16cid:durableId="1442645181">
    <w:abstractNumId w:val="2"/>
  </w:num>
  <w:num w:numId="3" w16cid:durableId="60727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91"/>
    <w:rsid w:val="000848FC"/>
    <w:rsid w:val="009678B3"/>
    <w:rsid w:val="00C019B1"/>
    <w:rsid w:val="00DC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81BE"/>
  <w15:chartTrackingRefBased/>
  <w15:docId w15:val="{504D9715-639D-4AA5-90EE-7DC5DA2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91"/>
    <w:pPr>
      <w:spacing w:after="0" w:line="240" w:lineRule="auto"/>
    </w:pPr>
    <w:rPr>
      <w:rFonts w:ascii="Times New Roman" w:eastAsia="Times New Roman" w:hAnsi="Times New Roman" w:cs="Times New Roman"/>
      <w:kern w:val="0"/>
      <w:sz w:val="20"/>
      <w:szCs w:val="20"/>
      <w:lang w:val="lt-LT"/>
      <w14:ligatures w14:val="none"/>
    </w:rPr>
  </w:style>
  <w:style w:type="paragraph" w:styleId="Heading1">
    <w:name w:val="heading 1"/>
    <w:basedOn w:val="Normal"/>
    <w:next w:val="Normal"/>
    <w:link w:val="Heading1Char"/>
    <w:uiPriority w:val="9"/>
    <w:qFormat/>
    <w:rsid w:val="00DC2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A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A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A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A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A91"/>
    <w:rPr>
      <w:rFonts w:eastAsiaTheme="majorEastAsia" w:cstheme="majorBidi"/>
      <w:color w:val="272727" w:themeColor="text1" w:themeTint="D8"/>
    </w:rPr>
  </w:style>
  <w:style w:type="paragraph" w:styleId="Title">
    <w:name w:val="Title"/>
    <w:basedOn w:val="Normal"/>
    <w:next w:val="Normal"/>
    <w:link w:val="TitleChar"/>
    <w:uiPriority w:val="10"/>
    <w:qFormat/>
    <w:rsid w:val="00DC2A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A91"/>
    <w:pPr>
      <w:spacing w:before="160"/>
      <w:jc w:val="center"/>
    </w:pPr>
    <w:rPr>
      <w:i/>
      <w:iCs/>
      <w:color w:val="404040" w:themeColor="text1" w:themeTint="BF"/>
    </w:rPr>
  </w:style>
  <w:style w:type="character" w:customStyle="1" w:styleId="QuoteChar">
    <w:name w:val="Quote Char"/>
    <w:basedOn w:val="DefaultParagraphFont"/>
    <w:link w:val="Quote"/>
    <w:uiPriority w:val="29"/>
    <w:rsid w:val="00DC2A91"/>
    <w:rPr>
      <w:i/>
      <w:iCs/>
      <w:color w:val="404040" w:themeColor="text1" w:themeTint="BF"/>
    </w:rPr>
  </w:style>
  <w:style w:type="paragraph" w:styleId="ListParagraph">
    <w:name w:val="List Paragraph"/>
    <w:basedOn w:val="Normal"/>
    <w:uiPriority w:val="34"/>
    <w:qFormat/>
    <w:rsid w:val="00DC2A91"/>
    <w:pPr>
      <w:ind w:left="720"/>
      <w:contextualSpacing/>
    </w:pPr>
  </w:style>
  <w:style w:type="character" w:styleId="IntenseEmphasis">
    <w:name w:val="Intense Emphasis"/>
    <w:basedOn w:val="DefaultParagraphFont"/>
    <w:uiPriority w:val="21"/>
    <w:qFormat/>
    <w:rsid w:val="00DC2A91"/>
    <w:rPr>
      <w:i/>
      <w:iCs/>
      <w:color w:val="0F4761" w:themeColor="accent1" w:themeShade="BF"/>
    </w:rPr>
  </w:style>
  <w:style w:type="paragraph" w:styleId="IntenseQuote">
    <w:name w:val="Intense Quote"/>
    <w:basedOn w:val="Normal"/>
    <w:next w:val="Normal"/>
    <w:link w:val="IntenseQuoteChar"/>
    <w:uiPriority w:val="30"/>
    <w:qFormat/>
    <w:rsid w:val="00DC2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A91"/>
    <w:rPr>
      <w:i/>
      <w:iCs/>
      <w:color w:val="0F4761" w:themeColor="accent1" w:themeShade="BF"/>
    </w:rPr>
  </w:style>
  <w:style w:type="character" w:styleId="IntenseReference">
    <w:name w:val="Intense Reference"/>
    <w:basedOn w:val="DefaultParagraphFont"/>
    <w:uiPriority w:val="32"/>
    <w:qFormat/>
    <w:rsid w:val="00DC2A91"/>
    <w:rPr>
      <w:b/>
      <w:bCs/>
      <w:smallCaps/>
      <w:color w:val="0F4761" w:themeColor="accent1" w:themeShade="BF"/>
      <w:spacing w:val="5"/>
    </w:rPr>
  </w:style>
  <w:style w:type="paragraph" w:customStyle="1" w:styleId="paragraph">
    <w:name w:val="paragraph"/>
    <w:basedOn w:val="Normal"/>
    <w:rsid w:val="00DC2A91"/>
    <w:pPr>
      <w:spacing w:before="100" w:beforeAutospacing="1" w:after="100" w:afterAutospacing="1"/>
    </w:pPr>
    <w:rPr>
      <w:sz w:val="24"/>
      <w:szCs w:val="24"/>
      <w:lang w:val="en-US"/>
    </w:rPr>
  </w:style>
  <w:style w:type="character" w:customStyle="1" w:styleId="normaltextrun">
    <w:name w:val="normaltextrun"/>
    <w:basedOn w:val="DefaultParagraphFont"/>
    <w:rsid w:val="00DC2A91"/>
  </w:style>
  <w:style w:type="character" w:customStyle="1" w:styleId="eop">
    <w:name w:val="eop"/>
    <w:basedOn w:val="DefaultParagraphFont"/>
    <w:rsid w:val="00DC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ausk.vpt.lt/hc/lt/articles/360016431019-112-straipsnis-Alternatyvios-sankcijos-ir-j%C5%B3-taikymas" TargetMode="External"/><Relationship Id="rId5" Type="http://schemas.openxmlformats.org/officeDocument/2006/relationships/hyperlink" Target="https://vpt.lrv.lt/lt/naujienos-3/patvirtintos-tipines-prekiu-sutarties-salygos-bus-privalomos-nuo-s-m-kovo-1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dc:description/>
  <cp:lastModifiedBy>Viktorija Balčiūnienė</cp:lastModifiedBy>
  <cp:revision>1</cp:revision>
  <dcterms:created xsi:type="dcterms:W3CDTF">2025-10-22T13:31:00Z</dcterms:created>
  <dcterms:modified xsi:type="dcterms:W3CDTF">2025-10-22T13:32:00Z</dcterms:modified>
</cp:coreProperties>
</file>