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6490" w:type="dxa"/>
        <w:tblLayout w:type="fixed"/>
        <w:tblLook w:val="01E0" w:firstRow="1" w:lastRow="1" w:firstColumn="1" w:lastColumn="1" w:noHBand="0" w:noVBand="0"/>
      </w:tblPr>
      <w:tblGrid>
        <w:gridCol w:w="3008"/>
      </w:tblGrid>
      <w:tr w:rsidR="00F3752E" w14:paraId="4EF44A9E" w14:textId="77777777" w:rsidTr="000F6154">
        <w:trPr>
          <w:trHeight w:val="521"/>
        </w:trPr>
        <w:tc>
          <w:tcPr>
            <w:tcW w:w="3008" w:type="dxa"/>
          </w:tcPr>
          <w:p w14:paraId="0D0DBADB" w14:textId="77777777" w:rsidR="00776281" w:rsidRPr="004E1EC7" w:rsidRDefault="00776281" w:rsidP="00776281">
            <w:pPr>
              <w:rPr>
                <w:color w:val="000000"/>
                <w:sz w:val="20"/>
              </w:rPr>
            </w:pPr>
            <w:r w:rsidRPr="004E1EC7">
              <w:rPr>
                <w:color w:val="000000"/>
                <w:sz w:val="20"/>
              </w:rPr>
              <w:t xml:space="preserve">Supaprastinto pirkimo </w:t>
            </w:r>
          </w:p>
          <w:p w14:paraId="3CC0E3EA" w14:textId="62C61323" w:rsidR="00F3752E" w:rsidRPr="004E1EC7" w:rsidRDefault="00776281" w:rsidP="00776281">
            <w:pPr>
              <w:rPr>
                <w:color w:val="000000"/>
                <w:sz w:val="20"/>
              </w:rPr>
            </w:pPr>
            <w:r w:rsidRPr="004E1EC7">
              <w:rPr>
                <w:color w:val="000000"/>
                <w:sz w:val="20"/>
              </w:rPr>
              <w:t>atviro konkurso būdu sąlygų</w:t>
            </w:r>
          </w:p>
        </w:tc>
      </w:tr>
      <w:tr w:rsidR="00F3752E" w14:paraId="74955B25" w14:textId="77777777" w:rsidTr="000F6154">
        <w:trPr>
          <w:trHeight w:val="254"/>
        </w:trPr>
        <w:tc>
          <w:tcPr>
            <w:tcW w:w="3008" w:type="dxa"/>
          </w:tcPr>
          <w:p w14:paraId="0CDF7B99" w14:textId="55A1BE28" w:rsidR="00F3752E" w:rsidRPr="004E1EC7" w:rsidRDefault="00776281">
            <w:pPr>
              <w:rPr>
                <w:color w:val="000000"/>
                <w:sz w:val="20"/>
              </w:rPr>
            </w:pPr>
            <w:r w:rsidRPr="004E1EC7">
              <w:rPr>
                <w:color w:val="000000"/>
                <w:sz w:val="20"/>
              </w:rPr>
              <w:t>8 priedas</w:t>
            </w:r>
          </w:p>
        </w:tc>
      </w:tr>
    </w:tbl>
    <w:p w14:paraId="20D68DFC" w14:textId="77777777" w:rsidR="00F3752E" w:rsidRDefault="00F3752E" w:rsidP="00E324AA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textAlignment w:val="baseline"/>
        <w:rPr>
          <w:b/>
          <w:caps/>
          <w:szCs w:val="24"/>
        </w:rPr>
      </w:pPr>
    </w:p>
    <w:p w14:paraId="6211B39E" w14:textId="5528F32B" w:rsidR="006E1697" w:rsidRPr="004E1EC7" w:rsidRDefault="006E1697" w:rsidP="006E1697">
      <w:pPr>
        <w:jc w:val="center"/>
        <w:rPr>
          <w:b/>
          <w:szCs w:val="24"/>
        </w:rPr>
      </w:pPr>
      <w:r w:rsidRPr="004E1EC7">
        <w:rPr>
          <w:b/>
          <w:szCs w:val="24"/>
        </w:rPr>
        <w:t xml:space="preserve">PROJEKTO „ROKIŠKIO LOPŠELIO-DARŽELIO „VARPELIS“ PASTATO (JAUNYSTĖS G. 15, ROKIŠKIS) ENERGINIO EFEKTYVUMO DIDINIMAS“ RANGOS DARBŲ </w:t>
      </w:r>
    </w:p>
    <w:p w14:paraId="5C24A1A4" w14:textId="7EDA0249" w:rsidR="001E2CC9" w:rsidRPr="004E1EC7" w:rsidRDefault="001E2CC9" w:rsidP="001E2CC9">
      <w:pPr>
        <w:tabs>
          <w:tab w:val="left" w:pos="9000"/>
          <w:tab w:val="right" w:pos="9360"/>
        </w:tabs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caps/>
          <w:szCs w:val="24"/>
        </w:rPr>
      </w:pPr>
      <w:r w:rsidRPr="004E1EC7">
        <w:rPr>
          <w:b/>
          <w:caps/>
          <w:szCs w:val="24"/>
        </w:rPr>
        <w:t>ĮKAINOT</w:t>
      </w:r>
      <w:r w:rsidR="008C188E">
        <w:rPr>
          <w:b/>
          <w:caps/>
          <w:szCs w:val="24"/>
        </w:rPr>
        <w:t>Ų</w:t>
      </w:r>
      <w:r w:rsidRPr="004E1EC7">
        <w:rPr>
          <w:b/>
          <w:caps/>
          <w:szCs w:val="24"/>
        </w:rPr>
        <w:t xml:space="preserve"> Veikl</w:t>
      </w:r>
      <w:r w:rsidR="00EC1138" w:rsidRPr="004E1EC7">
        <w:rPr>
          <w:b/>
          <w:caps/>
          <w:szCs w:val="24"/>
        </w:rPr>
        <w:t>Ų</w:t>
      </w:r>
      <w:r w:rsidRPr="004E1EC7">
        <w:rPr>
          <w:b/>
          <w:caps/>
          <w:szCs w:val="24"/>
        </w:rPr>
        <w:t xml:space="preserve"> sąrašas</w:t>
      </w:r>
    </w:p>
    <w:p w14:paraId="045A0A57" w14:textId="77777777" w:rsidR="002C30EF" w:rsidRPr="004E1EC7" w:rsidRDefault="002C30EF" w:rsidP="002C30EF">
      <w:pPr>
        <w:ind w:firstLine="567"/>
        <w:jc w:val="center"/>
        <w:rPr>
          <w:b/>
          <w:szCs w:val="24"/>
        </w:rPr>
      </w:pPr>
    </w:p>
    <w:p w14:paraId="0D4B6574" w14:textId="77777777" w:rsidR="002C30EF" w:rsidRPr="004E1EC7" w:rsidRDefault="002C30EF" w:rsidP="002C30EF">
      <w:pPr>
        <w:ind w:firstLine="567"/>
        <w:jc w:val="center"/>
        <w:rPr>
          <w:b/>
          <w:szCs w:val="24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"/>
        <w:gridCol w:w="6618"/>
        <w:gridCol w:w="2078"/>
      </w:tblGrid>
      <w:tr w:rsidR="001E2CC9" w:rsidRPr="004E1EC7" w14:paraId="05309E7F" w14:textId="77777777" w:rsidTr="004E1EC7">
        <w:trPr>
          <w:cantSplit/>
          <w:trHeight w:val="890"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FCF4F" w14:textId="77777777" w:rsidR="001E2CC9" w:rsidRPr="004E1EC7" w:rsidRDefault="001E2CC9" w:rsidP="00D15783">
            <w:pPr>
              <w:spacing w:after="200" w:line="276" w:lineRule="auto"/>
              <w:ind w:left="-113" w:right="-113"/>
              <w:jc w:val="center"/>
              <w:rPr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>Eil. Nr</w:t>
            </w:r>
            <w:r w:rsidRPr="004E1EC7">
              <w:rPr>
                <w:i/>
                <w:iCs/>
                <w:szCs w:val="24"/>
                <w:lang w:eastAsia="lt-LT"/>
              </w:rPr>
              <w:t xml:space="preserve">. 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0DE11" w14:textId="77777777" w:rsidR="001E2CC9" w:rsidRPr="004E1EC7" w:rsidRDefault="001E2CC9" w:rsidP="00D15783">
            <w:pPr>
              <w:keepNext/>
              <w:spacing w:after="200" w:line="276" w:lineRule="auto"/>
              <w:ind w:left="73"/>
              <w:rPr>
                <w:b/>
                <w:bCs/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>Darbų/Paslaugų veiklos pavadinimas</w:t>
            </w:r>
          </w:p>
        </w:tc>
        <w:tc>
          <w:tcPr>
            <w:tcW w:w="10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4203E" w14:textId="77777777" w:rsidR="001E2CC9" w:rsidRPr="004E1EC7" w:rsidRDefault="001E2CC9" w:rsidP="00D15783">
            <w:pPr>
              <w:spacing w:line="276" w:lineRule="auto"/>
              <w:jc w:val="center"/>
              <w:rPr>
                <w:b/>
                <w:bCs/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 xml:space="preserve">Darbų kaina be PVM, EUR </w:t>
            </w:r>
          </w:p>
          <w:p w14:paraId="66A5E434" w14:textId="77777777" w:rsidR="001E2CC9" w:rsidRPr="004E1EC7" w:rsidRDefault="001E2CC9" w:rsidP="00D15783">
            <w:pPr>
              <w:spacing w:line="276" w:lineRule="auto"/>
              <w:jc w:val="center"/>
              <w:rPr>
                <w:b/>
                <w:bCs/>
                <w:i/>
                <w:iCs/>
                <w:szCs w:val="24"/>
                <w:lang w:eastAsia="lt-LT"/>
              </w:rPr>
            </w:pPr>
            <w:r w:rsidRPr="004E1EC7">
              <w:rPr>
                <w:i/>
                <w:iCs/>
                <w:szCs w:val="24"/>
                <w:lang w:eastAsia="lt-LT"/>
              </w:rPr>
              <w:t>[Pildo rangovas]</w:t>
            </w:r>
          </w:p>
        </w:tc>
      </w:tr>
      <w:tr w:rsidR="001E2CC9" w:rsidRPr="004E1EC7" w14:paraId="67021E56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2E6D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ADF99" w14:textId="77777777" w:rsidR="001E2CC9" w:rsidRPr="004E1EC7" w:rsidRDefault="001E2CC9" w:rsidP="00D15783">
            <w:pPr>
              <w:rPr>
                <w:b/>
                <w:szCs w:val="24"/>
              </w:rPr>
            </w:pPr>
            <w:r w:rsidRPr="004E1EC7">
              <w:rPr>
                <w:b/>
                <w:szCs w:val="24"/>
              </w:rPr>
              <w:t>I etapas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09573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2C4BE423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2C6F9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1.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105B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Sklypo sutvarkymo darbai</w:t>
            </w:r>
            <w:r w:rsidR="001E2CC9" w:rsidRPr="004E1EC7">
              <w:rPr>
                <w:szCs w:val="24"/>
              </w:rPr>
              <w:t xml:space="preserve"> 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83AFD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5DE2772A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DF97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2.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D8BA3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Statinio architektūros darbai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28F5C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63E8CE56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26FAE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3.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55DA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Statinio konstrukcijų darbai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17EC2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0AA9FDB5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AEBA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4.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C0E94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Vandentiekis ir nuotekų šalinimas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82B18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471E3CAA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6AEE5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5.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4C21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Šildymas, vėdinimas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45A9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49E4A50E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A0F2F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6.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57E94" w14:textId="77777777" w:rsidR="001E2CC9" w:rsidRPr="004E1EC7" w:rsidRDefault="002C30EF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Šilumos punktas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BB05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669AF11B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CD5D6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7.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6516" w14:textId="77777777" w:rsidR="001E2CC9" w:rsidRPr="004E1EC7" w:rsidRDefault="001E2CC9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>Elektros darbai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6B784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3C22054E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94D0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E101" w14:textId="77777777" w:rsidR="001E2CC9" w:rsidRPr="004E1EC7" w:rsidRDefault="001E2CC9" w:rsidP="00D15783">
            <w:pPr>
              <w:rPr>
                <w:b/>
                <w:szCs w:val="24"/>
                <w:lang w:val="en-GB"/>
              </w:rPr>
            </w:pPr>
            <w:r w:rsidRPr="004E1EC7">
              <w:rPr>
                <w:b/>
                <w:szCs w:val="24"/>
                <w:lang w:val="en-GB"/>
              </w:rPr>
              <w:t>II etapas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BD5A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71E6E257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527D" w14:textId="77777777" w:rsidR="001E2CC9" w:rsidRPr="004E1EC7" w:rsidRDefault="001E2CC9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1.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32E06" w14:textId="77777777" w:rsidR="001E2CC9" w:rsidRPr="004E1EC7" w:rsidRDefault="004A3F5B" w:rsidP="00D15783">
            <w:pPr>
              <w:rPr>
                <w:szCs w:val="24"/>
              </w:rPr>
            </w:pPr>
            <w:r w:rsidRPr="004E1EC7">
              <w:rPr>
                <w:szCs w:val="24"/>
              </w:rPr>
              <w:t xml:space="preserve"> Elektrotechnikos dalis (s</w:t>
            </w:r>
            <w:r w:rsidR="002C30EF" w:rsidRPr="004E1EC7">
              <w:rPr>
                <w:szCs w:val="24"/>
              </w:rPr>
              <w:t>aulės elektrinės įrengimas</w:t>
            </w:r>
            <w:r w:rsidRPr="004E1EC7">
              <w:rPr>
                <w:szCs w:val="24"/>
              </w:rPr>
              <w:t>)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960E5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178220C2" w14:textId="77777777" w:rsidTr="00D15783">
        <w:trPr>
          <w:cantSplit/>
        </w:trPr>
        <w:tc>
          <w:tcPr>
            <w:tcW w:w="4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629CD" w14:textId="27328060" w:rsidR="001E2CC9" w:rsidRPr="004E1EC7" w:rsidRDefault="009B47E4" w:rsidP="00D15783">
            <w:pPr>
              <w:overflowPunct w:val="0"/>
              <w:autoSpaceDE w:val="0"/>
              <w:snapToGrid w:val="0"/>
              <w:jc w:val="center"/>
              <w:textAlignment w:val="baseline"/>
              <w:rPr>
                <w:szCs w:val="24"/>
              </w:rPr>
            </w:pPr>
            <w:r w:rsidRPr="004E1EC7">
              <w:rPr>
                <w:szCs w:val="24"/>
              </w:rPr>
              <w:t>2.</w:t>
            </w:r>
          </w:p>
        </w:tc>
        <w:tc>
          <w:tcPr>
            <w:tcW w:w="34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E8399" w14:textId="716120B6" w:rsidR="001E2CC9" w:rsidRPr="004E1EC7" w:rsidRDefault="009B47E4" w:rsidP="00D15783">
            <w:pPr>
              <w:rPr>
                <w:b/>
                <w:szCs w:val="24"/>
              </w:rPr>
            </w:pPr>
            <w:r w:rsidRPr="004E1EC7">
              <w:rPr>
                <w:szCs w:val="24"/>
              </w:rPr>
              <w:t>Inžinerin</w:t>
            </w:r>
            <w:r w:rsidR="00296C9D">
              <w:rPr>
                <w:szCs w:val="24"/>
              </w:rPr>
              <w:t>ės</w:t>
            </w:r>
            <w:r w:rsidRPr="004E1EC7">
              <w:rPr>
                <w:szCs w:val="24"/>
              </w:rPr>
              <w:t xml:space="preserve"> paslaug</w:t>
            </w:r>
            <w:r w:rsidR="00296C9D">
              <w:rPr>
                <w:szCs w:val="24"/>
              </w:rPr>
              <w:t>os</w:t>
            </w:r>
            <w:r w:rsidRPr="004E1EC7">
              <w:rPr>
                <w:szCs w:val="24"/>
              </w:rPr>
              <w:t xml:space="preserve"> (kadastrinių, geodezinių matavimų atlikimas, vykdymo dokumentacijos, kadastrinių matavimų bylų parengimas, pastatų energetinio efektyvumo sertifikavimas ir kitos inžinerinės paslaugos, reikalingos statybos užbaigimo procedūroms (kad būtų surašytas reikiamas statybos užbaigimo dokumentas))</w:t>
            </w:r>
          </w:p>
        </w:tc>
        <w:tc>
          <w:tcPr>
            <w:tcW w:w="10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7487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5C7206CC" w14:textId="77777777" w:rsidTr="00D15783">
        <w:trPr>
          <w:cantSplit/>
          <w:trHeight w:val="418"/>
        </w:trPr>
        <w:tc>
          <w:tcPr>
            <w:tcW w:w="39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F716A" w14:textId="77777777" w:rsidR="001E2CC9" w:rsidRPr="004E1EC7" w:rsidRDefault="001E2CC9" w:rsidP="00D15783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 xml:space="preserve">Suma </w:t>
            </w:r>
            <w:r w:rsidRPr="004E1EC7">
              <w:rPr>
                <w:b/>
                <w:szCs w:val="24"/>
                <w:lang w:eastAsia="lt-LT"/>
              </w:rPr>
              <w:t>be PVM:</w:t>
            </w:r>
          </w:p>
        </w:tc>
        <w:tc>
          <w:tcPr>
            <w:tcW w:w="1091" w:type="pct"/>
            <w:vAlign w:val="center"/>
          </w:tcPr>
          <w:p w14:paraId="151EDF87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1E5ED4C9" w14:textId="77777777" w:rsidTr="00D15783">
        <w:trPr>
          <w:cantSplit/>
          <w:trHeight w:val="417"/>
        </w:trPr>
        <w:tc>
          <w:tcPr>
            <w:tcW w:w="39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BA843" w14:textId="77777777" w:rsidR="001E2CC9" w:rsidRPr="004E1EC7" w:rsidRDefault="001E2CC9" w:rsidP="00D15783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>PVM [tarifas] suma:</w:t>
            </w:r>
          </w:p>
        </w:tc>
        <w:tc>
          <w:tcPr>
            <w:tcW w:w="1091" w:type="pct"/>
            <w:vAlign w:val="center"/>
          </w:tcPr>
          <w:p w14:paraId="2BF2D840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  <w:tr w:rsidR="001E2CC9" w:rsidRPr="004E1EC7" w14:paraId="484DDA19" w14:textId="77777777" w:rsidTr="00D15783">
        <w:trPr>
          <w:cantSplit/>
          <w:trHeight w:val="417"/>
        </w:trPr>
        <w:tc>
          <w:tcPr>
            <w:tcW w:w="39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5EC13" w14:textId="77777777" w:rsidR="001E2CC9" w:rsidRPr="004E1EC7" w:rsidRDefault="001E2CC9" w:rsidP="00D15783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  <w:r w:rsidRPr="004E1EC7">
              <w:rPr>
                <w:b/>
                <w:bCs/>
                <w:szCs w:val="24"/>
                <w:lang w:eastAsia="lt-LT"/>
              </w:rPr>
              <w:t>BENDRA SUMA su PVM:</w:t>
            </w:r>
          </w:p>
        </w:tc>
        <w:tc>
          <w:tcPr>
            <w:tcW w:w="1091" w:type="pct"/>
            <w:vAlign w:val="center"/>
          </w:tcPr>
          <w:p w14:paraId="5F0E7290" w14:textId="77777777" w:rsidR="001E2CC9" w:rsidRPr="004E1EC7" w:rsidRDefault="001E2CC9" w:rsidP="00B43ECC">
            <w:pPr>
              <w:spacing w:after="200" w:line="276" w:lineRule="auto"/>
              <w:jc w:val="right"/>
              <w:rPr>
                <w:szCs w:val="24"/>
                <w:lang w:eastAsia="lt-LT"/>
              </w:rPr>
            </w:pPr>
          </w:p>
        </w:tc>
      </w:tr>
    </w:tbl>
    <w:p w14:paraId="6DB4DE7A" w14:textId="77777777" w:rsidR="001E2CC9" w:rsidRPr="004E1EC7" w:rsidRDefault="001E2CC9" w:rsidP="001E2CC9">
      <w:pPr>
        <w:shd w:val="clear" w:color="auto" w:fill="FFFFFF"/>
        <w:jc w:val="both"/>
        <w:rPr>
          <w:rFonts w:eastAsia="Calibri"/>
          <w:i/>
          <w:szCs w:val="24"/>
        </w:rPr>
      </w:pPr>
    </w:p>
    <w:p w14:paraId="4EC7CFA7" w14:textId="77777777" w:rsidR="001E2CC9" w:rsidRPr="004E1EC7" w:rsidRDefault="001E2CC9" w:rsidP="001E2CC9">
      <w:pPr>
        <w:shd w:val="clear" w:color="auto" w:fill="FFFFFF"/>
        <w:jc w:val="both"/>
        <w:rPr>
          <w:rFonts w:eastAsia="Calibri"/>
          <w:i/>
          <w:szCs w:val="24"/>
        </w:rPr>
      </w:pPr>
      <w:r w:rsidRPr="004E1EC7">
        <w:rPr>
          <w:rFonts w:eastAsia="Calibri"/>
          <w:i/>
          <w:szCs w:val="24"/>
        </w:rPr>
        <w:t xml:space="preserve">Pastabos: </w:t>
      </w:r>
    </w:p>
    <w:p w14:paraId="627611B5" w14:textId="77777777" w:rsidR="001E2CC9" w:rsidRPr="004E1EC7" w:rsidRDefault="001E2CC9" w:rsidP="001E2CC9">
      <w:pPr>
        <w:shd w:val="clear" w:color="auto" w:fill="FFFFFF"/>
        <w:jc w:val="both"/>
        <w:rPr>
          <w:rFonts w:eastAsia="Calibri"/>
          <w:i/>
          <w:szCs w:val="24"/>
        </w:rPr>
      </w:pPr>
      <w:r w:rsidRPr="004E1EC7">
        <w:rPr>
          <w:rFonts w:eastAsia="Calibri"/>
          <w:i/>
          <w:szCs w:val="24"/>
        </w:rPr>
        <w:t>- kainos nurodomos, paliekant du skaitmenis po kablelio</w:t>
      </w:r>
    </w:p>
    <w:p w14:paraId="66923700" w14:textId="77777777" w:rsidR="001E2CC9" w:rsidRPr="004E1EC7" w:rsidRDefault="001E2CC9" w:rsidP="001E2CC9">
      <w:pPr>
        <w:shd w:val="clear" w:color="auto" w:fill="FFFFFF"/>
        <w:rPr>
          <w:rFonts w:eastAsia="Calibri"/>
          <w:i/>
          <w:szCs w:val="24"/>
        </w:rPr>
      </w:pPr>
      <w:r w:rsidRPr="004E1EC7">
        <w:rPr>
          <w:rFonts w:eastAsia="Calibri"/>
          <w:i/>
          <w:szCs w:val="24"/>
        </w:rPr>
        <w:t>- bendra kaina turi atitikti pateiktų jos sudėtinių dalių sumą</w:t>
      </w:r>
    </w:p>
    <w:p w14:paraId="1254EA92" w14:textId="77777777" w:rsidR="001E2CC9" w:rsidRPr="004E1EC7" w:rsidRDefault="001E2CC9" w:rsidP="001E2CC9">
      <w:pPr>
        <w:shd w:val="clear" w:color="auto" w:fill="FFFFFF"/>
        <w:rPr>
          <w:rFonts w:eastAsia="Calibri"/>
          <w:i/>
          <w:szCs w:val="24"/>
        </w:rPr>
      </w:pPr>
    </w:p>
    <w:p w14:paraId="5EB7A845" w14:textId="77777777" w:rsidR="001E2CC9" w:rsidRPr="004E1EC7" w:rsidRDefault="001E2CC9" w:rsidP="001E2CC9">
      <w:pPr>
        <w:shd w:val="clear" w:color="auto" w:fill="FFFFFF"/>
        <w:rPr>
          <w:rFonts w:eastAsia="Calibri"/>
          <w:i/>
          <w:szCs w:val="24"/>
        </w:rPr>
      </w:pPr>
    </w:p>
    <w:p w14:paraId="46BF58FA" w14:textId="77777777" w:rsidR="001E2CC9" w:rsidRPr="004E1EC7" w:rsidRDefault="001E2CC9" w:rsidP="001E2CC9">
      <w:pPr>
        <w:shd w:val="clear" w:color="auto" w:fill="FFFFFF"/>
        <w:jc w:val="both"/>
        <w:rPr>
          <w:rFonts w:eastAsia="Calibri"/>
          <w:szCs w:val="24"/>
        </w:rPr>
      </w:pPr>
      <w:r w:rsidRPr="004E1EC7">
        <w:rPr>
          <w:rFonts w:eastAsia="Calibri"/>
          <w:szCs w:val="24"/>
        </w:rPr>
        <w:t>_________________________________________________</w:t>
      </w:r>
    </w:p>
    <w:p w14:paraId="35C5369A" w14:textId="77777777" w:rsidR="001E2CC9" w:rsidRPr="004E1EC7" w:rsidRDefault="001E2CC9" w:rsidP="001E2CC9">
      <w:pPr>
        <w:shd w:val="clear" w:color="auto" w:fill="FFFFFF"/>
        <w:jc w:val="both"/>
        <w:rPr>
          <w:rFonts w:eastAsia="Calibri"/>
          <w:sz w:val="20"/>
        </w:rPr>
      </w:pPr>
      <w:r w:rsidRPr="004E1EC7">
        <w:rPr>
          <w:rFonts w:eastAsia="Calibri"/>
          <w:sz w:val="20"/>
        </w:rPr>
        <w:t>(Tiekėjo arba jo įgalioto asmens pareigos vardas, pavardė, parašas)</w:t>
      </w:r>
    </w:p>
    <w:p w14:paraId="69CC8C3B" w14:textId="77777777" w:rsidR="00EC7071" w:rsidRDefault="00EC7071"/>
    <w:sectPr w:rsidR="00EC7071" w:rsidSect="004E1EC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C9"/>
    <w:rsid w:val="000E5F77"/>
    <w:rsid w:val="000F6154"/>
    <w:rsid w:val="00175DE3"/>
    <w:rsid w:val="001A5541"/>
    <w:rsid w:val="001D194F"/>
    <w:rsid w:val="001E2CC9"/>
    <w:rsid w:val="00296C9D"/>
    <w:rsid w:val="002C30EF"/>
    <w:rsid w:val="00367F8E"/>
    <w:rsid w:val="004A3F5B"/>
    <w:rsid w:val="004B06F6"/>
    <w:rsid w:val="004E1EC7"/>
    <w:rsid w:val="006400A2"/>
    <w:rsid w:val="00684141"/>
    <w:rsid w:val="006E1697"/>
    <w:rsid w:val="00700A6B"/>
    <w:rsid w:val="00776281"/>
    <w:rsid w:val="00807200"/>
    <w:rsid w:val="00835C0E"/>
    <w:rsid w:val="008C188E"/>
    <w:rsid w:val="00955A0A"/>
    <w:rsid w:val="009B47E4"/>
    <w:rsid w:val="00A82FDC"/>
    <w:rsid w:val="00B43ECC"/>
    <w:rsid w:val="00B93F08"/>
    <w:rsid w:val="00E324AA"/>
    <w:rsid w:val="00EC1138"/>
    <w:rsid w:val="00EC7071"/>
    <w:rsid w:val="00F3752E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DFBD"/>
  <w15:docId w15:val="{FC72B3DA-D47C-436B-A05C-C8BEE853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2C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6E16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E169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E1697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169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169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16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169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3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780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Gačionienė</dc:creator>
  <cp:lastModifiedBy>Dalia Bulovienė</cp:lastModifiedBy>
  <cp:revision>3</cp:revision>
  <dcterms:created xsi:type="dcterms:W3CDTF">2024-12-16T12:39:00Z</dcterms:created>
  <dcterms:modified xsi:type="dcterms:W3CDTF">2024-12-17T07:19:00Z</dcterms:modified>
</cp:coreProperties>
</file>