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B2450" w14:textId="77777777" w:rsidR="0092339A" w:rsidRPr="001D42A9" w:rsidRDefault="0092339A" w:rsidP="0092339A">
      <w:pPr>
        <w:tabs>
          <w:tab w:val="left" w:pos="567"/>
          <w:tab w:val="left" w:pos="1418"/>
        </w:tabs>
        <w:ind w:firstLine="567"/>
        <w:jc w:val="right"/>
        <w:rPr>
          <w:szCs w:val="24"/>
        </w:rPr>
      </w:pPr>
      <w:r w:rsidRPr="001D42A9">
        <w:rPr>
          <w:szCs w:val="24"/>
        </w:rPr>
        <w:t>Pirkimo sąlygų 2 priedas „Techninė specifikacija“</w:t>
      </w:r>
    </w:p>
    <w:p w14:paraId="2EA2267C" w14:textId="77777777" w:rsidR="0092339A" w:rsidRPr="001D42A9" w:rsidRDefault="0092339A" w:rsidP="0092339A">
      <w:pPr>
        <w:jc w:val="center"/>
        <w:rPr>
          <w:rFonts w:eastAsia="Calibri"/>
          <w:b/>
          <w:bCs/>
          <w:color w:val="auto"/>
          <w:kern w:val="2"/>
          <w:szCs w:val="24"/>
        </w:rPr>
      </w:pPr>
    </w:p>
    <w:p w14:paraId="6C5066AF" w14:textId="6830AE78" w:rsidR="0092339A" w:rsidRPr="001D42A9" w:rsidRDefault="0092339A" w:rsidP="0092339A">
      <w:pPr>
        <w:jc w:val="center"/>
        <w:rPr>
          <w:rFonts w:eastAsia="Calibri"/>
          <w:b/>
          <w:bCs/>
          <w:color w:val="auto"/>
          <w:kern w:val="2"/>
          <w:szCs w:val="24"/>
        </w:rPr>
      </w:pPr>
      <w:r w:rsidRPr="001D42A9">
        <w:rPr>
          <w:rFonts w:eastAsia="Calibri"/>
          <w:b/>
          <w:bCs/>
          <w:color w:val="auto"/>
          <w:kern w:val="2"/>
          <w:szCs w:val="24"/>
        </w:rPr>
        <w:t xml:space="preserve">TECHNINĖ SPECIFIKACIJA </w:t>
      </w:r>
    </w:p>
    <w:p w14:paraId="63803F3C" w14:textId="77777777" w:rsidR="0092339A" w:rsidRPr="001D42A9" w:rsidRDefault="0092339A" w:rsidP="0092339A">
      <w:pPr>
        <w:jc w:val="center"/>
        <w:rPr>
          <w:rFonts w:eastAsia="Calibri"/>
          <w:b/>
          <w:bCs/>
          <w:color w:val="auto"/>
          <w:kern w:val="2"/>
          <w:szCs w:val="24"/>
        </w:rPr>
      </w:pPr>
      <w:r w:rsidRPr="001D42A9">
        <w:rPr>
          <w:rFonts w:eastAsia="Calibri"/>
          <w:b/>
          <w:bCs/>
          <w:color w:val="auto"/>
          <w:kern w:val="2"/>
          <w:szCs w:val="24"/>
        </w:rPr>
        <w:t xml:space="preserve">MOKYMAMS APIE ĮTRAUKIOJO UGDYMO VADYBĄ </w:t>
      </w:r>
    </w:p>
    <w:p w14:paraId="4A06BDC8" w14:textId="77777777" w:rsidR="0092339A" w:rsidRPr="001D42A9" w:rsidRDefault="0092339A" w:rsidP="0092339A">
      <w:pPr>
        <w:jc w:val="center"/>
        <w:rPr>
          <w:rFonts w:eastAsia="Calibri"/>
          <w:b/>
          <w:bCs/>
          <w:color w:val="auto"/>
          <w:kern w:val="2"/>
          <w:szCs w:val="24"/>
        </w:rPr>
      </w:pPr>
    </w:p>
    <w:p w14:paraId="7FAB8B74" w14:textId="77777777" w:rsidR="0092339A" w:rsidRPr="001D42A9" w:rsidRDefault="0092339A" w:rsidP="0092339A">
      <w:pPr>
        <w:numPr>
          <w:ilvl w:val="0"/>
          <w:numId w:val="1"/>
        </w:numPr>
        <w:spacing w:after="240" w:line="259" w:lineRule="auto"/>
        <w:ind w:left="714" w:hanging="357"/>
        <w:jc w:val="center"/>
        <w:rPr>
          <w:rFonts w:eastAsia="Calibri"/>
          <w:b/>
          <w:bCs/>
          <w:color w:val="auto"/>
          <w:kern w:val="2"/>
          <w:szCs w:val="24"/>
        </w:rPr>
      </w:pPr>
      <w:r w:rsidRPr="001D42A9">
        <w:rPr>
          <w:rFonts w:eastAsia="Calibri"/>
          <w:b/>
          <w:bCs/>
          <w:color w:val="auto"/>
          <w:kern w:val="2"/>
          <w:szCs w:val="24"/>
        </w:rPr>
        <w:t xml:space="preserve">BENDROJI INFORMACIJA </w:t>
      </w:r>
    </w:p>
    <w:p w14:paraId="7311CD42" w14:textId="77777777" w:rsidR="0092339A" w:rsidRPr="001D42A9" w:rsidRDefault="0092339A" w:rsidP="0092339A">
      <w:pPr>
        <w:numPr>
          <w:ilvl w:val="1"/>
          <w:numId w:val="1"/>
        </w:numPr>
        <w:tabs>
          <w:tab w:val="left" w:pos="567"/>
        </w:tabs>
        <w:ind w:left="0" w:firstLine="0"/>
        <w:jc w:val="both"/>
        <w:rPr>
          <w:rFonts w:eastAsia="Calibri"/>
          <w:color w:val="auto"/>
          <w:kern w:val="2"/>
          <w:szCs w:val="24"/>
        </w:rPr>
      </w:pPr>
      <w:r w:rsidRPr="001D42A9">
        <w:rPr>
          <w:rFonts w:eastAsia="Calibri"/>
          <w:color w:val="auto"/>
          <w:kern w:val="2"/>
          <w:szCs w:val="24"/>
        </w:rPr>
        <w:t>Akmenės rajono savivaldybės administracija (toliau – Administracija) įgyvendindama 2023-2025 metų strateginio veiklos plano II prioriteto 2 strateginį tikslą – užtikrinti kokybiškų švietimo paslaugų prieinamumą, dalyvauja Švietimo pažangos programos projekte „Tūkstantmečio mokyklos II“. Projektas „Tūkstantmečio mokyklos II“, kurio tikslas – mažinti mokinių pasiekimų atotrūkius ir sukurti integralias, optimalias ir kokybiškas ugdymo(-</w:t>
      </w:r>
      <w:proofErr w:type="spellStart"/>
      <w:r w:rsidRPr="001D42A9">
        <w:rPr>
          <w:rFonts w:eastAsia="Calibri"/>
          <w:color w:val="auto"/>
          <w:kern w:val="2"/>
          <w:szCs w:val="24"/>
        </w:rPr>
        <w:t>si</w:t>
      </w:r>
      <w:proofErr w:type="spellEnd"/>
      <w:r w:rsidRPr="001D42A9">
        <w:rPr>
          <w:rFonts w:eastAsia="Calibri"/>
          <w:color w:val="auto"/>
          <w:kern w:val="2"/>
          <w:szCs w:val="24"/>
        </w:rPr>
        <w:t>) sąlygas kiekvienam mokiniui švietimo įstaigose, vykdomas pagal 2021–2030 m. plėtros programos valdytojos Lietuvos Respublikos švietimo, mokslo ir sporto ministerijos Švietimo plėtros programos pažangos priemonę Nr. 12-003-03-01-01 ir yra finansuojamas Ekonomikos gaivinimo ir atsparumo didinimo priemonės (EGADP) bei Lietuvos Respublikos valstybės biudžeto lėšomis.</w:t>
      </w:r>
    </w:p>
    <w:p w14:paraId="0CFC6161" w14:textId="77777777" w:rsidR="0092339A" w:rsidRPr="001D42A9" w:rsidRDefault="0092339A" w:rsidP="0092339A">
      <w:pPr>
        <w:numPr>
          <w:ilvl w:val="1"/>
          <w:numId w:val="1"/>
        </w:numPr>
        <w:tabs>
          <w:tab w:val="left" w:pos="567"/>
        </w:tabs>
        <w:ind w:left="0" w:firstLine="0"/>
        <w:jc w:val="both"/>
        <w:rPr>
          <w:rFonts w:eastAsia="Calibri"/>
          <w:color w:val="auto"/>
          <w:kern w:val="2"/>
          <w:szCs w:val="24"/>
        </w:rPr>
      </w:pPr>
      <w:r w:rsidRPr="001D42A9">
        <w:rPr>
          <w:rFonts w:eastAsia="Calibri"/>
          <w:color w:val="auto"/>
          <w:kern w:val="2"/>
          <w:szCs w:val="24"/>
        </w:rPr>
        <w:t xml:space="preserve">„Tūkstantmečio mokyklos“ mokyklų (toliau – TŪM) programą sudaro aktyviai tarpusavyje sąveikaujančios mokyklų tobulinimo sritys: lyderystė veikiant, kultūrinis ugdymas, </w:t>
      </w:r>
      <w:proofErr w:type="spellStart"/>
      <w:r w:rsidRPr="001D42A9">
        <w:rPr>
          <w:rFonts w:eastAsia="Calibri"/>
          <w:color w:val="auto"/>
          <w:kern w:val="2"/>
          <w:szCs w:val="24"/>
        </w:rPr>
        <w:t>įtraukusis</w:t>
      </w:r>
      <w:proofErr w:type="spellEnd"/>
      <w:r w:rsidRPr="001D42A9">
        <w:rPr>
          <w:rFonts w:eastAsia="Calibri"/>
          <w:color w:val="auto"/>
          <w:kern w:val="2"/>
          <w:szCs w:val="24"/>
        </w:rPr>
        <w:t xml:space="preserve"> ugdymas, STEAM ugdymas bei tinklaveika. </w:t>
      </w:r>
    </w:p>
    <w:p w14:paraId="49307837" w14:textId="77777777" w:rsidR="0092339A" w:rsidRPr="001D42A9" w:rsidRDefault="0092339A" w:rsidP="0092339A">
      <w:pPr>
        <w:numPr>
          <w:ilvl w:val="0"/>
          <w:numId w:val="1"/>
        </w:numPr>
        <w:spacing w:before="240" w:after="240" w:line="259" w:lineRule="auto"/>
        <w:ind w:left="714" w:hanging="357"/>
        <w:jc w:val="center"/>
        <w:rPr>
          <w:rFonts w:eastAsia="Calibri"/>
          <w:b/>
          <w:bCs/>
          <w:color w:val="auto"/>
          <w:kern w:val="2"/>
          <w:szCs w:val="24"/>
        </w:rPr>
      </w:pPr>
      <w:r w:rsidRPr="001D42A9">
        <w:rPr>
          <w:rFonts w:eastAsia="Calibri"/>
          <w:b/>
          <w:bCs/>
          <w:color w:val="auto"/>
          <w:kern w:val="2"/>
          <w:szCs w:val="24"/>
        </w:rPr>
        <w:t>PIRKIMO OBJEKTAS</w:t>
      </w:r>
    </w:p>
    <w:p w14:paraId="6380B5BD" w14:textId="77777777" w:rsidR="0092339A" w:rsidRPr="001D42A9" w:rsidRDefault="0092339A" w:rsidP="0092339A">
      <w:pPr>
        <w:numPr>
          <w:ilvl w:val="1"/>
          <w:numId w:val="1"/>
        </w:numPr>
        <w:tabs>
          <w:tab w:val="left" w:pos="567"/>
        </w:tabs>
        <w:ind w:left="0" w:firstLine="0"/>
        <w:jc w:val="both"/>
        <w:rPr>
          <w:rFonts w:eastAsia="Calibri"/>
          <w:color w:val="auto"/>
          <w:kern w:val="2"/>
          <w:szCs w:val="24"/>
        </w:rPr>
      </w:pPr>
      <w:bookmarkStart w:id="0" w:name="_Hlk167958112"/>
      <w:r w:rsidRPr="001D42A9">
        <w:rPr>
          <w:rFonts w:eastAsia="Calibri"/>
          <w:color w:val="auto"/>
          <w:kern w:val="2"/>
          <w:szCs w:val="24"/>
        </w:rPr>
        <w:t xml:space="preserve">Pirkimo objektas </w:t>
      </w:r>
      <w:r w:rsidRPr="001D42A9">
        <w:rPr>
          <w:rFonts w:eastAsia="Calibri"/>
          <w:i/>
          <w:iCs/>
          <w:color w:val="auto"/>
          <w:kern w:val="2"/>
          <w:szCs w:val="24"/>
        </w:rPr>
        <w:t xml:space="preserve"> – mokymai mokyklų vadovams ir mokyklos administracijai apie įtraukiojo ugdymo (ĮU) vadybą </w:t>
      </w:r>
      <w:r w:rsidRPr="001D42A9">
        <w:rPr>
          <w:rFonts w:eastAsia="Calibri"/>
          <w:color w:val="auto"/>
          <w:kern w:val="2"/>
          <w:szCs w:val="24"/>
        </w:rPr>
        <w:t>(toliau – Mokymai).</w:t>
      </w:r>
    </w:p>
    <w:p w14:paraId="5BC8F2BE" w14:textId="77777777" w:rsidR="0092339A" w:rsidRPr="001D42A9" w:rsidRDefault="0092339A" w:rsidP="0092339A">
      <w:pPr>
        <w:numPr>
          <w:ilvl w:val="1"/>
          <w:numId w:val="1"/>
        </w:numPr>
        <w:tabs>
          <w:tab w:val="left" w:pos="567"/>
        </w:tabs>
        <w:ind w:left="0" w:firstLine="0"/>
        <w:rPr>
          <w:rFonts w:eastAsia="Calibri"/>
          <w:color w:val="auto"/>
          <w:kern w:val="2"/>
          <w:szCs w:val="24"/>
        </w:rPr>
      </w:pPr>
      <w:bookmarkStart w:id="1" w:name="_Hlk167958180"/>
      <w:bookmarkEnd w:id="0"/>
      <w:r w:rsidRPr="001D42A9">
        <w:rPr>
          <w:rFonts w:eastAsia="Calibri"/>
          <w:color w:val="auto"/>
          <w:kern w:val="2"/>
          <w:szCs w:val="24"/>
        </w:rPr>
        <w:t>Tikslinė grupė – 10 Akmenės rajono savivaldybės bendrojo ugdymo mokyklų vadovų ir mokyklos administracijos darbuotojų (direktoriai, direktorių pavaduotojai ugdymui, metodinių tarybų pirmininkai)(toliau – Dalyviai).</w:t>
      </w:r>
    </w:p>
    <w:p w14:paraId="4715501E" w14:textId="77777777" w:rsidR="0092339A" w:rsidRPr="001D42A9" w:rsidRDefault="0092339A" w:rsidP="0092339A">
      <w:pPr>
        <w:numPr>
          <w:ilvl w:val="1"/>
          <w:numId w:val="1"/>
        </w:numPr>
        <w:tabs>
          <w:tab w:val="left" w:pos="567"/>
        </w:tabs>
        <w:ind w:left="0" w:firstLine="0"/>
        <w:jc w:val="both"/>
        <w:rPr>
          <w:rFonts w:eastAsia="Calibri"/>
          <w:color w:val="auto"/>
          <w:kern w:val="2"/>
          <w:szCs w:val="24"/>
        </w:rPr>
      </w:pPr>
      <w:r w:rsidRPr="001D42A9">
        <w:rPr>
          <w:rFonts w:eastAsia="Calibri"/>
          <w:color w:val="auto"/>
          <w:kern w:val="2"/>
          <w:szCs w:val="24"/>
        </w:rPr>
        <w:t>Tikslas – suteikti Mokymų dalyviams žinių, kurios padėtų geriau pasiruošti įtraukiojo ugdymo programos įgyvendinimui ir leistų kiekvienam mokiniui patirti sėkmę.</w:t>
      </w:r>
    </w:p>
    <w:p w14:paraId="17AF7AB9" w14:textId="77777777" w:rsidR="0092339A" w:rsidRPr="001D42A9" w:rsidRDefault="0092339A" w:rsidP="0092339A">
      <w:pPr>
        <w:numPr>
          <w:ilvl w:val="1"/>
          <w:numId w:val="1"/>
        </w:numPr>
        <w:tabs>
          <w:tab w:val="left" w:pos="567"/>
        </w:tabs>
        <w:ind w:left="0" w:firstLine="0"/>
        <w:jc w:val="both"/>
        <w:rPr>
          <w:rFonts w:eastAsia="Calibri"/>
          <w:color w:val="auto"/>
          <w:kern w:val="2"/>
          <w:szCs w:val="24"/>
        </w:rPr>
      </w:pPr>
      <w:r w:rsidRPr="001D42A9">
        <w:rPr>
          <w:rFonts w:eastAsia="Calibri"/>
          <w:color w:val="auto"/>
          <w:kern w:val="2"/>
          <w:szCs w:val="24"/>
        </w:rPr>
        <w:t>Uždavinys – išmokti atpažinti ir atliepti vaiko poreikius, personalizuoti ugdymą, dirbti su įvairių specialiųjų ugdymosi poreikių (toliau – SUP) turinčiais vaikais.</w:t>
      </w:r>
    </w:p>
    <w:p w14:paraId="4203CD4B" w14:textId="77777777" w:rsidR="0092339A" w:rsidRPr="001D42A9" w:rsidRDefault="0092339A" w:rsidP="0092339A">
      <w:pPr>
        <w:numPr>
          <w:ilvl w:val="1"/>
          <w:numId w:val="1"/>
        </w:numPr>
        <w:tabs>
          <w:tab w:val="left" w:pos="567"/>
        </w:tabs>
        <w:ind w:left="0" w:firstLine="0"/>
        <w:jc w:val="both"/>
        <w:rPr>
          <w:rFonts w:eastAsia="Calibri"/>
          <w:color w:val="auto"/>
          <w:kern w:val="2"/>
          <w:szCs w:val="24"/>
        </w:rPr>
      </w:pPr>
      <w:r w:rsidRPr="001D42A9">
        <w:rPr>
          <w:rFonts w:eastAsia="Calibri"/>
          <w:color w:val="auto"/>
          <w:kern w:val="2"/>
          <w:szCs w:val="24"/>
        </w:rPr>
        <w:t>Visa Mokymų apimtis –</w:t>
      </w:r>
      <w:r w:rsidRPr="001D42A9">
        <w:rPr>
          <w:rFonts w:eastAsia="Calibri"/>
          <w:color w:val="FF0000"/>
          <w:kern w:val="2"/>
          <w:szCs w:val="24"/>
        </w:rPr>
        <w:t xml:space="preserve"> </w:t>
      </w:r>
      <w:r w:rsidRPr="001D42A9">
        <w:rPr>
          <w:rFonts w:eastAsia="Calibri"/>
          <w:color w:val="auto"/>
          <w:kern w:val="2"/>
          <w:szCs w:val="24"/>
        </w:rPr>
        <w:t>40 akademinių valandų, kuriuos sudaro:</w:t>
      </w:r>
    </w:p>
    <w:p w14:paraId="26E79808" w14:textId="77777777" w:rsidR="0092339A" w:rsidRPr="001D42A9" w:rsidRDefault="0092339A" w:rsidP="0092339A">
      <w:pPr>
        <w:tabs>
          <w:tab w:val="left" w:pos="567"/>
        </w:tabs>
        <w:jc w:val="both"/>
        <w:rPr>
          <w:rFonts w:eastAsia="Calibri"/>
          <w:color w:val="auto"/>
          <w:kern w:val="2"/>
          <w:szCs w:val="24"/>
        </w:rPr>
      </w:pPr>
      <w:r w:rsidRPr="001D42A9">
        <w:rPr>
          <w:rFonts w:eastAsia="Calibri"/>
          <w:color w:val="auto"/>
          <w:kern w:val="2"/>
          <w:szCs w:val="24"/>
        </w:rPr>
        <w:tab/>
        <w:t>2.5.1. Teorinė – praktinė (patirtinė) dalis (nuotoliu ir kontaktu) – 16 ak. val. kontaktiniu būdu, 8 ak. val. nuotoliniu būdu, iš viso: 24 ak. val.</w:t>
      </w:r>
    </w:p>
    <w:p w14:paraId="1DC01FF5" w14:textId="77777777" w:rsidR="0092339A" w:rsidRPr="001D42A9" w:rsidRDefault="0092339A" w:rsidP="0092339A">
      <w:pPr>
        <w:tabs>
          <w:tab w:val="left" w:pos="567"/>
        </w:tabs>
        <w:jc w:val="both"/>
        <w:rPr>
          <w:rFonts w:eastAsia="Calibri"/>
          <w:color w:val="auto"/>
          <w:kern w:val="2"/>
          <w:szCs w:val="24"/>
        </w:rPr>
      </w:pPr>
      <w:r w:rsidRPr="001D42A9">
        <w:rPr>
          <w:rFonts w:eastAsia="Calibri"/>
          <w:color w:val="auto"/>
          <w:kern w:val="2"/>
          <w:szCs w:val="24"/>
        </w:rPr>
        <w:tab/>
        <w:t>2.5.2. Mokomieji pažintiniai vizitai – 16 ak. val.</w:t>
      </w:r>
    </w:p>
    <w:p w14:paraId="6E96C48E" w14:textId="77777777" w:rsidR="0092339A" w:rsidRPr="001D42A9" w:rsidRDefault="0092339A" w:rsidP="0092339A">
      <w:pPr>
        <w:numPr>
          <w:ilvl w:val="1"/>
          <w:numId w:val="1"/>
        </w:numPr>
        <w:tabs>
          <w:tab w:val="left" w:pos="567"/>
        </w:tabs>
        <w:ind w:left="0" w:firstLine="0"/>
        <w:jc w:val="both"/>
        <w:rPr>
          <w:rFonts w:eastAsia="Calibri"/>
          <w:color w:val="auto"/>
          <w:kern w:val="2"/>
          <w:szCs w:val="24"/>
        </w:rPr>
      </w:pPr>
      <w:r w:rsidRPr="001D42A9">
        <w:rPr>
          <w:rFonts w:eastAsia="Calibri"/>
          <w:color w:val="auto"/>
          <w:kern w:val="2"/>
          <w:szCs w:val="24"/>
        </w:rPr>
        <w:t>Preliminarūs mokymų terminai:</w:t>
      </w:r>
    </w:p>
    <w:tbl>
      <w:tblPr>
        <w:tblpPr w:leftFromText="180" w:rightFromText="180" w:vertAnchor="text" w:tblpX="-15"/>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2594"/>
        <w:gridCol w:w="2535"/>
        <w:gridCol w:w="830"/>
        <w:gridCol w:w="1942"/>
        <w:gridCol w:w="1110"/>
      </w:tblGrid>
      <w:tr w:rsidR="0092339A" w:rsidRPr="001D42A9" w14:paraId="6032B004" w14:textId="77777777" w:rsidTr="00BD6882">
        <w:trPr>
          <w:trHeight w:val="621"/>
        </w:trPr>
        <w:tc>
          <w:tcPr>
            <w:tcW w:w="520" w:type="dxa"/>
            <w:shd w:val="clear" w:color="auto" w:fill="auto"/>
            <w:tcMar>
              <w:top w:w="0" w:type="dxa"/>
              <w:left w:w="108" w:type="dxa"/>
              <w:bottom w:w="0" w:type="dxa"/>
              <w:right w:w="108" w:type="dxa"/>
            </w:tcMar>
            <w:hideMark/>
          </w:tcPr>
          <w:p w14:paraId="28FF7186" w14:textId="77777777" w:rsidR="0092339A" w:rsidRPr="001D42A9" w:rsidRDefault="0092339A" w:rsidP="00BD6882">
            <w:pPr>
              <w:jc w:val="center"/>
              <w:rPr>
                <w:b/>
                <w:bCs/>
                <w:sz w:val="20"/>
              </w:rPr>
            </w:pPr>
            <w:r w:rsidRPr="001D42A9">
              <w:rPr>
                <w:b/>
                <w:bCs/>
                <w:sz w:val="20"/>
              </w:rPr>
              <w:t>Eil. Nr.</w:t>
            </w:r>
          </w:p>
        </w:tc>
        <w:tc>
          <w:tcPr>
            <w:tcW w:w="2594" w:type="dxa"/>
            <w:shd w:val="clear" w:color="auto" w:fill="auto"/>
            <w:tcMar>
              <w:top w:w="0" w:type="dxa"/>
              <w:left w:w="108" w:type="dxa"/>
              <w:bottom w:w="0" w:type="dxa"/>
              <w:right w:w="108" w:type="dxa"/>
            </w:tcMar>
            <w:hideMark/>
          </w:tcPr>
          <w:p w14:paraId="6AB2F7EB" w14:textId="77777777" w:rsidR="0092339A" w:rsidRPr="001D42A9" w:rsidRDefault="0092339A" w:rsidP="00BD6882">
            <w:pPr>
              <w:ind w:right="-117"/>
              <w:jc w:val="center"/>
              <w:rPr>
                <w:b/>
                <w:bCs/>
                <w:sz w:val="20"/>
              </w:rPr>
            </w:pPr>
            <w:r w:rsidRPr="001D42A9">
              <w:rPr>
                <w:b/>
                <w:bCs/>
                <w:sz w:val="20"/>
              </w:rPr>
              <w:t>Mokymų pavadinimas</w:t>
            </w:r>
          </w:p>
        </w:tc>
        <w:tc>
          <w:tcPr>
            <w:tcW w:w="2535" w:type="dxa"/>
            <w:shd w:val="clear" w:color="auto" w:fill="auto"/>
            <w:tcMar>
              <w:top w:w="0" w:type="dxa"/>
              <w:left w:w="108" w:type="dxa"/>
              <w:bottom w:w="0" w:type="dxa"/>
              <w:right w:w="108" w:type="dxa"/>
            </w:tcMar>
            <w:hideMark/>
          </w:tcPr>
          <w:p w14:paraId="6EDDF531" w14:textId="77777777" w:rsidR="0092339A" w:rsidRPr="001D42A9" w:rsidRDefault="0092339A" w:rsidP="00BD6882">
            <w:pPr>
              <w:ind w:right="-110"/>
              <w:jc w:val="center"/>
              <w:rPr>
                <w:b/>
                <w:bCs/>
                <w:sz w:val="20"/>
              </w:rPr>
            </w:pPr>
            <w:r w:rsidRPr="001D42A9">
              <w:rPr>
                <w:b/>
                <w:bCs/>
                <w:sz w:val="20"/>
              </w:rPr>
              <w:t>Teorija (T)</w:t>
            </w:r>
          </w:p>
          <w:p w14:paraId="54145E8C" w14:textId="77777777" w:rsidR="0092339A" w:rsidRPr="001D42A9" w:rsidRDefault="0092339A" w:rsidP="00BD6882">
            <w:pPr>
              <w:ind w:right="-110"/>
              <w:jc w:val="center"/>
              <w:rPr>
                <w:b/>
                <w:bCs/>
                <w:sz w:val="20"/>
              </w:rPr>
            </w:pPr>
            <w:r w:rsidRPr="001D42A9">
              <w:rPr>
                <w:b/>
                <w:bCs/>
                <w:sz w:val="20"/>
              </w:rPr>
              <w:t>Praktika (P)</w:t>
            </w:r>
          </w:p>
          <w:p w14:paraId="2C7C038B" w14:textId="77777777" w:rsidR="0092339A" w:rsidRPr="001D42A9" w:rsidRDefault="0092339A" w:rsidP="00BD6882">
            <w:pPr>
              <w:ind w:right="-110"/>
              <w:jc w:val="center"/>
              <w:rPr>
                <w:b/>
                <w:bCs/>
                <w:sz w:val="20"/>
              </w:rPr>
            </w:pPr>
            <w:r w:rsidRPr="001D42A9">
              <w:rPr>
                <w:b/>
                <w:bCs/>
                <w:sz w:val="20"/>
              </w:rPr>
              <w:t>Nuotoliniai (N)</w:t>
            </w:r>
          </w:p>
          <w:p w14:paraId="2CA0A771" w14:textId="77777777" w:rsidR="0092339A" w:rsidRPr="001D42A9" w:rsidRDefault="0092339A" w:rsidP="00BD6882">
            <w:pPr>
              <w:ind w:right="-110"/>
              <w:jc w:val="center"/>
              <w:rPr>
                <w:b/>
                <w:bCs/>
                <w:sz w:val="20"/>
              </w:rPr>
            </w:pPr>
            <w:r w:rsidRPr="001D42A9">
              <w:rPr>
                <w:b/>
                <w:bCs/>
                <w:sz w:val="20"/>
              </w:rPr>
              <w:t>Pažintinis vizitas (PŽV)</w:t>
            </w:r>
          </w:p>
        </w:tc>
        <w:tc>
          <w:tcPr>
            <w:tcW w:w="830" w:type="dxa"/>
            <w:shd w:val="clear" w:color="auto" w:fill="auto"/>
            <w:tcMar>
              <w:top w:w="0" w:type="dxa"/>
              <w:left w:w="108" w:type="dxa"/>
              <w:bottom w:w="0" w:type="dxa"/>
              <w:right w:w="108" w:type="dxa"/>
            </w:tcMar>
          </w:tcPr>
          <w:p w14:paraId="2A445984" w14:textId="77777777" w:rsidR="0092339A" w:rsidRPr="001D42A9" w:rsidRDefault="0092339A" w:rsidP="00BD6882">
            <w:pPr>
              <w:jc w:val="center"/>
              <w:rPr>
                <w:b/>
                <w:bCs/>
                <w:sz w:val="20"/>
              </w:rPr>
            </w:pPr>
            <w:r w:rsidRPr="001D42A9">
              <w:rPr>
                <w:b/>
                <w:bCs/>
                <w:sz w:val="20"/>
              </w:rPr>
              <w:t>Ak. val.</w:t>
            </w:r>
          </w:p>
          <w:p w14:paraId="1B2AF106" w14:textId="77777777" w:rsidR="0092339A" w:rsidRPr="001D42A9" w:rsidRDefault="0092339A" w:rsidP="00BD6882">
            <w:pPr>
              <w:pStyle w:val="Sraopastraipa"/>
              <w:ind w:left="0"/>
              <w:contextualSpacing w:val="0"/>
              <w:jc w:val="center"/>
              <w:rPr>
                <w:b/>
                <w:bCs/>
                <w:lang w:val="lt-LT"/>
              </w:rPr>
            </w:pPr>
          </w:p>
          <w:p w14:paraId="596D4560" w14:textId="77777777" w:rsidR="0092339A" w:rsidRPr="001D42A9" w:rsidRDefault="0092339A" w:rsidP="00BD6882">
            <w:pPr>
              <w:jc w:val="center"/>
              <w:rPr>
                <w:b/>
                <w:bCs/>
                <w:sz w:val="20"/>
              </w:rPr>
            </w:pPr>
          </w:p>
        </w:tc>
        <w:tc>
          <w:tcPr>
            <w:tcW w:w="1942" w:type="dxa"/>
            <w:shd w:val="clear" w:color="auto" w:fill="auto"/>
            <w:tcMar>
              <w:top w:w="0" w:type="dxa"/>
              <w:left w:w="108" w:type="dxa"/>
              <w:bottom w:w="0" w:type="dxa"/>
              <w:right w:w="108" w:type="dxa"/>
            </w:tcMar>
            <w:hideMark/>
          </w:tcPr>
          <w:p w14:paraId="500B57AE" w14:textId="77777777" w:rsidR="0092339A" w:rsidRPr="001D42A9" w:rsidRDefault="0092339A" w:rsidP="00BD6882">
            <w:pPr>
              <w:jc w:val="center"/>
              <w:rPr>
                <w:b/>
                <w:bCs/>
                <w:sz w:val="20"/>
              </w:rPr>
            </w:pPr>
            <w:r w:rsidRPr="001D42A9">
              <w:rPr>
                <w:b/>
                <w:bCs/>
                <w:sz w:val="20"/>
              </w:rPr>
              <w:t>Mėnuo/Mokymų vieta</w:t>
            </w:r>
          </w:p>
        </w:tc>
        <w:tc>
          <w:tcPr>
            <w:tcW w:w="1110" w:type="dxa"/>
          </w:tcPr>
          <w:p w14:paraId="5E2F85F3" w14:textId="77777777" w:rsidR="0092339A" w:rsidRPr="001D42A9" w:rsidRDefault="0092339A" w:rsidP="00BD6882">
            <w:pPr>
              <w:jc w:val="center"/>
              <w:rPr>
                <w:b/>
                <w:bCs/>
                <w:sz w:val="20"/>
              </w:rPr>
            </w:pPr>
            <w:r w:rsidRPr="001D42A9">
              <w:rPr>
                <w:b/>
                <w:bCs/>
                <w:sz w:val="20"/>
              </w:rPr>
              <w:t>Dalyvių skaičius</w:t>
            </w:r>
          </w:p>
        </w:tc>
      </w:tr>
      <w:tr w:rsidR="0092339A" w:rsidRPr="001D42A9" w14:paraId="38A9575E" w14:textId="77777777" w:rsidTr="00BD6882">
        <w:trPr>
          <w:trHeight w:val="732"/>
        </w:trPr>
        <w:tc>
          <w:tcPr>
            <w:tcW w:w="520" w:type="dxa"/>
            <w:shd w:val="clear" w:color="auto" w:fill="auto"/>
            <w:tcMar>
              <w:top w:w="0" w:type="dxa"/>
              <w:left w:w="108" w:type="dxa"/>
              <w:bottom w:w="0" w:type="dxa"/>
              <w:right w:w="108" w:type="dxa"/>
            </w:tcMar>
          </w:tcPr>
          <w:p w14:paraId="13976325" w14:textId="77777777" w:rsidR="0092339A" w:rsidRPr="001D42A9" w:rsidRDefault="0092339A" w:rsidP="00BD6882">
            <w:pPr>
              <w:jc w:val="center"/>
              <w:rPr>
                <w:sz w:val="20"/>
              </w:rPr>
            </w:pPr>
            <w:r w:rsidRPr="001D42A9">
              <w:rPr>
                <w:sz w:val="20"/>
              </w:rPr>
              <w:t xml:space="preserve">1. </w:t>
            </w:r>
          </w:p>
        </w:tc>
        <w:tc>
          <w:tcPr>
            <w:tcW w:w="2594" w:type="dxa"/>
            <w:shd w:val="clear" w:color="auto" w:fill="auto"/>
            <w:tcMar>
              <w:top w:w="0" w:type="dxa"/>
              <w:left w:w="108" w:type="dxa"/>
              <w:bottom w:w="0" w:type="dxa"/>
              <w:right w:w="108" w:type="dxa"/>
            </w:tcMar>
          </w:tcPr>
          <w:p w14:paraId="31C3462E" w14:textId="77777777" w:rsidR="0092339A" w:rsidRPr="001D42A9" w:rsidRDefault="0092339A" w:rsidP="00BD6882">
            <w:pPr>
              <w:ind w:right="-117"/>
              <w:rPr>
                <w:sz w:val="20"/>
              </w:rPr>
            </w:pPr>
            <w:r w:rsidRPr="001D42A9">
              <w:rPr>
                <w:sz w:val="20"/>
              </w:rPr>
              <w:t>Įtraukiojo ugdymo samprata, principai ir vertybės; Įtraukiojo ugdymo vadybos pagrindai ir organizavimas</w:t>
            </w:r>
          </w:p>
        </w:tc>
        <w:tc>
          <w:tcPr>
            <w:tcW w:w="2535" w:type="dxa"/>
            <w:shd w:val="clear" w:color="auto" w:fill="auto"/>
            <w:tcMar>
              <w:top w:w="0" w:type="dxa"/>
              <w:left w:w="108" w:type="dxa"/>
              <w:bottom w:w="0" w:type="dxa"/>
              <w:right w:w="108" w:type="dxa"/>
            </w:tcMar>
          </w:tcPr>
          <w:p w14:paraId="2B680DFB" w14:textId="77777777" w:rsidR="0092339A" w:rsidRPr="001D42A9" w:rsidRDefault="0092339A" w:rsidP="00BD6882">
            <w:pPr>
              <w:ind w:right="-110"/>
              <w:jc w:val="center"/>
              <w:rPr>
                <w:sz w:val="20"/>
              </w:rPr>
            </w:pPr>
            <w:r w:rsidRPr="001D42A9">
              <w:rPr>
                <w:sz w:val="20"/>
              </w:rPr>
              <w:t>T</w:t>
            </w:r>
          </w:p>
        </w:tc>
        <w:tc>
          <w:tcPr>
            <w:tcW w:w="830" w:type="dxa"/>
            <w:shd w:val="clear" w:color="auto" w:fill="auto"/>
            <w:tcMar>
              <w:top w:w="0" w:type="dxa"/>
              <w:left w:w="108" w:type="dxa"/>
              <w:bottom w:w="0" w:type="dxa"/>
              <w:right w:w="108" w:type="dxa"/>
            </w:tcMar>
          </w:tcPr>
          <w:p w14:paraId="51ED23A9" w14:textId="77777777" w:rsidR="0092339A" w:rsidRPr="001D42A9" w:rsidRDefault="0092339A" w:rsidP="00BD6882">
            <w:pPr>
              <w:jc w:val="center"/>
              <w:rPr>
                <w:sz w:val="20"/>
              </w:rPr>
            </w:pPr>
            <w:r w:rsidRPr="001D42A9">
              <w:rPr>
                <w:sz w:val="20"/>
              </w:rPr>
              <w:t xml:space="preserve">8 </w:t>
            </w:r>
          </w:p>
        </w:tc>
        <w:tc>
          <w:tcPr>
            <w:tcW w:w="1942" w:type="dxa"/>
            <w:shd w:val="clear" w:color="auto" w:fill="auto"/>
            <w:tcMar>
              <w:top w:w="0" w:type="dxa"/>
              <w:left w:w="108" w:type="dxa"/>
              <w:bottom w:w="0" w:type="dxa"/>
              <w:right w:w="108" w:type="dxa"/>
            </w:tcMar>
          </w:tcPr>
          <w:p w14:paraId="117DDD32" w14:textId="77777777" w:rsidR="0092339A" w:rsidRPr="001D42A9" w:rsidRDefault="0092339A" w:rsidP="00BD6882">
            <w:pPr>
              <w:jc w:val="center"/>
              <w:rPr>
                <w:sz w:val="20"/>
              </w:rPr>
            </w:pPr>
            <w:r w:rsidRPr="001D42A9">
              <w:rPr>
                <w:sz w:val="20"/>
              </w:rPr>
              <w:t xml:space="preserve">2024 m. </w:t>
            </w:r>
          </w:p>
          <w:p w14:paraId="249B6FA1" w14:textId="77777777" w:rsidR="0092339A" w:rsidRPr="001D42A9" w:rsidRDefault="0092339A" w:rsidP="00BD6882">
            <w:pPr>
              <w:jc w:val="center"/>
              <w:rPr>
                <w:sz w:val="20"/>
              </w:rPr>
            </w:pPr>
            <w:r w:rsidRPr="001D42A9">
              <w:rPr>
                <w:sz w:val="20"/>
              </w:rPr>
              <w:t>Lapkritis – Gruodis</w:t>
            </w:r>
          </w:p>
          <w:p w14:paraId="7A162A42"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 xml:space="preserve">V. Kudirkos g. 11, Naujoji Akmenė, </w:t>
            </w:r>
          </w:p>
          <w:p w14:paraId="3F601DB6" w14:textId="77777777" w:rsidR="0092339A" w:rsidRPr="001D42A9" w:rsidRDefault="0092339A" w:rsidP="00BD6882">
            <w:pPr>
              <w:jc w:val="center"/>
              <w:rPr>
                <w:sz w:val="20"/>
              </w:rPr>
            </w:pPr>
            <w:r w:rsidRPr="001D42A9">
              <w:rPr>
                <w:rFonts w:eastAsia="Calibri"/>
                <w:color w:val="auto"/>
                <w:kern w:val="2"/>
                <w:sz w:val="20"/>
              </w:rPr>
              <w:t>LT-85165 Akmenės r. sav.</w:t>
            </w:r>
          </w:p>
        </w:tc>
        <w:tc>
          <w:tcPr>
            <w:tcW w:w="1110" w:type="dxa"/>
          </w:tcPr>
          <w:p w14:paraId="6560B325" w14:textId="77777777" w:rsidR="0092339A" w:rsidRPr="001D42A9" w:rsidRDefault="0092339A" w:rsidP="00BD6882">
            <w:pPr>
              <w:jc w:val="center"/>
              <w:rPr>
                <w:sz w:val="20"/>
              </w:rPr>
            </w:pPr>
            <w:r w:rsidRPr="001D42A9">
              <w:rPr>
                <w:sz w:val="20"/>
              </w:rPr>
              <w:t xml:space="preserve">10 </w:t>
            </w:r>
          </w:p>
          <w:p w14:paraId="49C57F16" w14:textId="77777777" w:rsidR="0092339A" w:rsidRPr="001D42A9" w:rsidRDefault="0092339A" w:rsidP="00BD6882">
            <w:pPr>
              <w:jc w:val="center"/>
              <w:rPr>
                <w:b/>
                <w:bCs/>
                <w:sz w:val="20"/>
              </w:rPr>
            </w:pPr>
          </w:p>
        </w:tc>
      </w:tr>
      <w:tr w:rsidR="0092339A" w:rsidRPr="001D42A9" w14:paraId="7519FAB6" w14:textId="77777777" w:rsidTr="00BD6882">
        <w:trPr>
          <w:trHeight w:val="828"/>
        </w:trPr>
        <w:tc>
          <w:tcPr>
            <w:tcW w:w="520" w:type="dxa"/>
            <w:shd w:val="clear" w:color="auto" w:fill="auto"/>
            <w:tcMar>
              <w:top w:w="0" w:type="dxa"/>
              <w:left w:w="108" w:type="dxa"/>
              <w:bottom w:w="0" w:type="dxa"/>
              <w:right w:w="108" w:type="dxa"/>
            </w:tcMar>
          </w:tcPr>
          <w:p w14:paraId="53898BF6" w14:textId="77777777" w:rsidR="0092339A" w:rsidRPr="001D42A9" w:rsidRDefault="0092339A" w:rsidP="00BD6882">
            <w:pPr>
              <w:jc w:val="center"/>
              <w:rPr>
                <w:sz w:val="20"/>
              </w:rPr>
            </w:pPr>
            <w:r w:rsidRPr="001D42A9">
              <w:rPr>
                <w:sz w:val="20"/>
              </w:rPr>
              <w:t>2.</w:t>
            </w:r>
          </w:p>
        </w:tc>
        <w:tc>
          <w:tcPr>
            <w:tcW w:w="2594" w:type="dxa"/>
            <w:shd w:val="clear" w:color="auto" w:fill="auto"/>
            <w:tcMar>
              <w:top w:w="0" w:type="dxa"/>
              <w:left w:w="108" w:type="dxa"/>
              <w:bottom w:w="0" w:type="dxa"/>
              <w:right w:w="108" w:type="dxa"/>
            </w:tcMar>
          </w:tcPr>
          <w:p w14:paraId="5ECB3BE6" w14:textId="77777777" w:rsidR="0092339A" w:rsidRPr="001D42A9" w:rsidRDefault="0092339A" w:rsidP="00BD6882">
            <w:pPr>
              <w:ind w:right="-117"/>
              <w:rPr>
                <w:sz w:val="20"/>
              </w:rPr>
            </w:pPr>
            <w:r w:rsidRPr="001D42A9">
              <w:rPr>
                <w:sz w:val="20"/>
              </w:rPr>
              <w:t>Mokymo programų ir ugdymo turinio pritaikymas; Įtraukaus ugdymo inovatyvūs mokymo metodai, metodikos ir praktinės užduotys; Įtraukaus ugdymo praktinis taikymas</w:t>
            </w:r>
          </w:p>
        </w:tc>
        <w:tc>
          <w:tcPr>
            <w:tcW w:w="2535" w:type="dxa"/>
            <w:shd w:val="clear" w:color="auto" w:fill="auto"/>
            <w:tcMar>
              <w:top w:w="0" w:type="dxa"/>
              <w:left w:w="108" w:type="dxa"/>
              <w:bottom w:w="0" w:type="dxa"/>
              <w:right w:w="108" w:type="dxa"/>
            </w:tcMar>
          </w:tcPr>
          <w:p w14:paraId="35C5D719" w14:textId="77777777" w:rsidR="0092339A" w:rsidRPr="001D42A9" w:rsidRDefault="0092339A" w:rsidP="00BD6882">
            <w:pPr>
              <w:ind w:right="-110"/>
              <w:jc w:val="center"/>
              <w:rPr>
                <w:sz w:val="20"/>
              </w:rPr>
            </w:pPr>
            <w:r w:rsidRPr="001D42A9">
              <w:rPr>
                <w:sz w:val="20"/>
              </w:rPr>
              <w:t>T/P</w:t>
            </w:r>
          </w:p>
        </w:tc>
        <w:tc>
          <w:tcPr>
            <w:tcW w:w="830" w:type="dxa"/>
            <w:shd w:val="clear" w:color="auto" w:fill="auto"/>
            <w:tcMar>
              <w:top w:w="0" w:type="dxa"/>
              <w:left w:w="108" w:type="dxa"/>
              <w:bottom w:w="0" w:type="dxa"/>
              <w:right w:w="108" w:type="dxa"/>
            </w:tcMar>
          </w:tcPr>
          <w:p w14:paraId="01D9AD2E" w14:textId="77777777" w:rsidR="0092339A" w:rsidRPr="001D42A9" w:rsidRDefault="0092339A" w:rsidP="00BD6882">
            <w:pPr>
              <w:jc w:val="center"/>
              <w:rPr>
                <w:sz w:val="20"/>
              </w:rPr>
            </w:pPr>
            <w:r w:rsidRPr="001D42A9">
              <w:rPr>
                <w:sz w:val="20"/>
              </w:rPr>
              <w:t>8</w:t>
            </w:r>
          </w:p>
        </w:tc>
        <w:tc>
          <w:tcPr>
            <w:tcW w:w="1942" w:type="dxa"/>
            <w:shd w:val="clear" w:color="auto" w:fill="auto"/>
            <w:tcMar>
              <w:top w:w="0" w:type="dxa"/>
              <w:left w:w="108" w:type="dxa"/>
              <w:bottom w:w="0" w:type="dxa"/>
              <w:right w:w="108" w:type="dxa"/>
            </w:tcMar>
          </w:tcPr>
          <w:p w14:paraId="16D5820C" w14:textId="77777777" w:rsidR="0092339A" w:rsidRPr="001D42A9" w:rsidRDefault="0092339A" w:rsidP="00BD6882">
            <w:pPr>
              <w:jc w:val="center"/>
              <w:rPr>
                <w:sz w:val="20"/>
              </w:rPr>
            </w:pPr>
            <w:r w:rsidRPr="001D42A9">
              <w:rPr>
                <w:sz w:val="20"/>
              </w:rPr>
              <w:t>2025 m.</w:t>
            </w:r>
          </w:p>
          <w:p w14:paraId="17EAD304" w14:textId="77777777" w:rsidR="0092339A" w:rsidRPr="001D42A9" w:rsidRDefault="0092339A" w:rsidP="00BD6882">
            <w:pPr>
              <w:jc w:val="center"/>
              <w:rPr>
                <w:sz w:val="20"/>
              </w:rPr>
            </w:pPr>
            <w:r w:rsidRPr="001D42A9">
              <w:rPr>
                <w:sz w:val="20"/>
              </w:rPr>
              <w:t xml:space="preserve"> Sausis – Vasaris  </w:t>
            </w:r>
          </w:p>
          <w:p w14:paraId="26AE03F7"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 xml:space="preserve">V. Kudirkos g. 11, Naujoji Akmenė, </w:t>
            </w:r>
          </w:p>
          <w:p w14:paraId="7CDAE774" w14:textId="77777777" w:rsidR="0092339A" w:rsidRPr="001D42A9" w:rsidRDefault="0092339A" w:rsidP="00BD6882">
            <w:pPr>
              <w:jc w:val="center"/>
              <w:rPr>
                <w:sz w:val="20"/>
              </w:rPr>
            </w:pPr>
            <w:r w:rsidRPr="001D42A9">
              <w:rPr>
                <w:rFonts w:eastAsia="Calibri"/>
                <w:color w:val="auto"/>
                <w:kern w:val="2"/>
                <w:sz w:val="20"/>
              </w:rPr>
              <w:t>Lt-85165 Akmenės r. sav.</w:t>
            </w:r>
          </w:p>
        </w:tc>
        <w:tc>
          <w:tcPr>
            <w:tcW w:w="1110" w:type="dxa"/>
          </w:tcPr>
          <w:p w14:paraId="74EE4D57" w14:textId="77777777" w:rsidR="0092339A" w:rsidRPr="001D42A9" w:rsidRDefault="0092339A" w:rsidP="00BD6882">
            <w:pPr>
              <w:jc w:val="center"/>
              <w:rPr>
                <w:sz w:val="20"/>
              </w:rPr>
            </w:pPr>
            <w:r w:rsidRPr="001D42A9">
              <w:rPr>
                <w:sz w:val="20"/>
              </w:rPr>
              <w:t xml:space="preserve">10 </w:t>
            </w:r>
          </w:p>
        </w:tc>
      </w:tr>
      <w:tr w:rsidR="0092339A" w:rsidRPr="001D42A9" w14:paraId="3D4E40F3" w14:textId="77777777" w:rsidTr="00BD6882">
        <w:trPr>
          <w:trHeight w:val="828"/>
        </w:trPr>
        <w:tc>
          <w:tcPr>
            <w:tcW w:w="520" w:type="dxa"/>
            <w:shd w:val="clear" w:color="auto" w:fill="auto"/>
            <w:tcMar>
              <w:top w:w="0" w:type="dxa"/>
              <w:left w:w="108" w:type="dxa"/>
              <w:bottom w:w="0" w:type="dxa"/>
              <w:right w:w="108" w:type="dxa"/>
            </w:tcMar>
          </w:tcPr>
          <w:p w14:paraId="00B41EEB" w14:textId="77777777" w:rsidR="0092339A" w:rsidRPr="001D42A9" w:rsidRDefault="0092339A" w:rsidP="00BD6882">
            <w:pPr>
              <w:jc w:val="center"/>
              <w:rPr>
                <w:sz w:val="20"/>
              </w:rPr>
            </w:pPr>
            <w:r w:rsidRPr="001D42A9">
              <w:rPr>
                <w:sz w:val="20"/>
              </w:rPr>
              <w:t>3.</w:t>
            </w:r>
          </w:p>
        </w:tc>
        <w:tc>
          <w:tcPr>
            <w:tcW w:w="2594" w:type="dxa"/>
            <w:shd w:val="clear" w:color="auto" w:fill="auto"/>
            <w:tcMar>
              <w:top w:w="0" w:type="dxa"/>
              <w:left w:w="108" w:type="dxa"/>
              <w:bottom w:w="0" w:type="dxa"/>
              <w:right w:w="108" w:type="dxa"/>
            </w:tcMar>
          </w:tcPr>
          <w:p w14:paraId="1912C828" w14:textId="77777777" w:rsidR="0092339A" w:rsidRPr="001D42A9" w:rsidRDefault="0092339A" w:rsidP="00BD6882">
            <w:pPr>
              <w:ind w:right="-117"/>
              <w:rPr>
                <w:sz w:val="20"/>
              </w:rPr>
            </w:pPr>
            <w:r w:rsidRPr="001D42A9">
              <w:rPr>
                <w:sz w:val="20"/>
              </w:rPr>
              <w:t>Atvejų studijos ir analizė;</w:t>
            </w:r>
          </w:p>
          <w:p w14:paraId="00957583" w14:textId="77777777" w:rsidR="0092339A" w:rsidRPr="001D42A9" w:rsidRDefault="0092339A" w:rsidP="00BD6882">
            <w:pPr>
              <w:ind w:right="-117"/>
              <w:rPr>
                <w:sz w:val="20"/>
              </w:rPr>
            </w:pPr>
            <w:r w:rsidRPr="001D42A9">
              <w:rPr>
                <w:sz w:val="20"/>
              </w:rPr>
              <w:t>Įtraukiojo ugdymo įvertinimas ir tobulinimas</w:t>
            </w:r>
          </w:p>
        </w:tc>
        <w:tc>
          <w:tcPr>
            <w:tcW w:w="2535" w:type="dxa"/>
            <w:shd w:val="clear" w:color="auto" w:fill="auto"/>
            <w:tcMar>
              <w:top w:w="0" w:type="dxa"/>
              <w:left w:w="108" w:type="dxa"/>
              <w:bottom w:w="0" w:type="dxa"/>
              <w:right w:w="108" w:type="dxa"/>
            </w:tcMar>
          </w:tcPr>
          <w:p w14:paraId="00C9CC71" w14:textId="77777777" w:rsidR="0092339A" w:rsidRPr="001D42A9" w:rsidRDefault="0092339A" w:rsidP="00BD6882">
            <w:pPr>
              <w:ind w:right="-110"/>
              <w:jc w:val="center"/>
              <w:rPr>
                <w:sz w:val="20"/>
              </w:rPr>
            </w:pPr>
            <w:r w:rsidRPr="001D42A9">
              <w:rPr>
                <w:sz w:val="20"/>
              </w:rPr>
              <w:t>T/N</w:t>
            </w:r>
          </w:p>
        </w:tc>
        <w:tc>
          <w:tcPr>
            <w:tcW w:w="830" w:type="dxa"/>
            <w:shd w:val="clear" w:color="auto" w:fill="auto"/>
            <w:tcMar>
              <w:top w:w="0" w:type="dxa"/>
              <w:left w:w="108" w:type="dxa"/>
              <w:bottom w:w="0" w:type="dxa"/>
              <w:right w:w="108" w:type="dxa"/>
            </w:tcMar>
          </w:tcPr>
          <w:p w14:paraId="58B4BC77" w14:textId="77777777" w:rsidR="0092339A" w:rsidRPr="001D42A9" w:rsidRDefault="0092339A" w:rsidP="00BD6882">
            <w:pPr>
              <w:jc w:val="center"/>
              <w:rPr>
                <w:sz w:val="20"/>
              </w:rPr>
            </w:pPr>
            <w:r w:rsidRPr="001D42A9">
              <w:rPr>
                <w:sz w:val="20"/>
              </w:rPr>
              <w:t>8</w:t>
            </w:r>
          </w:p>
        </w:tc>
        <w:tc>
          <w:tcPr>
            <w:tcW w:w="1942" w:type="dxa"/>
            <w:shd w:val="clear" w:color="auto" w:fill="auto"/>
            <w:tcMar>
              <w:top w:w="0" w:type="dxa"/>
              <w:left w:w="108" w:type="dxa"/>
              <w:bottom w:w="0" w:type="dxa"/>
              <w:right w:w="108" w:type="dxa"/>
            </w:tcMar>
          </w:tcPr>
          <w:p w14:paraId="28AF11C6" w14:textId="77777777" w:rsidR="0092339A" w:rsidRPr="001D42A9" w:rsidRDefault="0092339A" w:rsidP="00BD6882">
            <w:pPr>
              <w:jc w:val="center"/>
              <w:rPr>
                <w:sz w:val="20"/>
              </w:rPr>
            </w:pPr>
            <w:r w:rsidRPr="001D42A9">
              <w:rPr>
                <w:sz w:val="20"/>
              </w:rPr>
              <w:t>2025 m.</w:t>
            </w:r>
          </w:p>
          <w:p w14:paraId="5F499505" w14:textId="77777777" w:rsidR="0092339A" w:rsidRPr="001D42A9" w:rsidRDefault="0092339A" w:rsidP="00BD6882">
            <w:pPr>
              <w:jc w:val="center"/>
              <w:rPr>
                <w:sz w:val="20"/>
              </w:rPr>
            </w:pPr>
            <w:r w:rsidRPr="001D42A9">
              <w:rPr>
                <w:sz w:val="20"/>
              </w:rPr>
              <w:t>Kovas – Balandis</w:t>
            </w:r>
          </w:p>
          <w:p w14:paraId="24E6D495" w14:textId="77777777" w:rsidR="0092339A" w:rsidRPr="001D42A9" w:rsidRDefault="0092339A" w:rsidP="00BD6882">
            <w:pPr>
              <w:jc w:val="center"/>
              <w:rPr>
                <w:sz w:val="20"/>
              </w:rPr>
            </w:pPr>
            <w:proofErr w:type="spellStart"/>
            <w:r w:rsidRPr="001D42A9">
              <w:rPr>
                <w:i/>
                <w:iCs/>
                <w:sz w:val="20"/>
              </w:rPr>
              <w:t>Zoom</w:t>
            </w:r>
            <w:proofErr w:type="spellEnd"/>
            <w:r w:rsidRPr="001D42A9">
              <w:rPr>
                <w:sz w:val="20"/>
              </w:rPr>
              <w:t xml:space="preserve"> platforma</w:t>
            </w:r>
          </w:p>
        </w:tc>
        <w:tc>
          <w:tcPr>
            <w:tcW w:w="1110" w:type="dxa"/>
          </w:tcPr>
          <w:p w14:paraId="467623F5" w14:textId="77777777" w:rsidR="0092339A" w:rsidRPr="001D42A9" w:rsidRDefault="0092339A" w:rsidP="00BD6882">
            <w:pPr>
              <w:jc w:val="center"/>
              <w:rPr>
                <w:sz w:val="20"/>
              </w:rPr>
            </w:pPr>
            <w:r w:rsidRPr="001D42A9">
              <w:rPr>
                <w:sz w:val="20"/>
              </w:rPr>
              <w:t xml:space="preserve">10 </w:t>
            </w:r>
          </w:p>
        </w:tc>
      </w:tr>
      <w:tr w:rsidR="0092339A" w:rsidRPr="001D42A9" w14:paraId="6C6E0EB9" w14:textId="77777777" w:rsidTr="00BD6882">
        <w:trPr>
          <w:trHeight w:val="828"/>
        </w:trPr>
        <w:tc>
          <w:tcPr>
            <w:tcW w:w="520" w:type="dxa"/>
            <w:shd w:val="clear" w:color="auto" w:fill="auto"/>
            <w:tcMar>
              <w:top w:w="0" w:type="dxa"/>
              <w:left w:w="108" w:type="dxa"/>
              <w:bottom w:w="0" w:type="dxa"/>
              <w:right w:w="108" w:type="dxa"/>
            </w:tcMar>
          </w:tcPr>
          <w:p w14:paraId="7E1E8709" w14:textId="77777777" w:rsidR="0092339A" w:rsidRPr="001D42A9" w:rsidRDefault="0092339A" w:rsidP="00BD6882">
            <w:pPr>
              <w:jc w:val="center"/>
              <w:rPr>
                <w:sz w:val="20"/>
              </w:rPr>
            </w:pPr>
            <w:r w:rsidRPr="001D42A9">
              <w:rPr>
                <w:sz w:val="20"/>
              </w:rPr>
              <w:lastRenderedPageBreak/>
              <w:t xml:space="preserve">4. </w:t>
            </w:r>
          </w:p>
        </w:tc>
        <w:tc>
          <w:tcPr>
            <w:tcW w:w="2594" w:type="dxa"/>
            <w:shd w:val="clear" w:color="auto" w:fill="auto"/>
            <w:tcMar>
              <w:top w:w="0" w:type="dxa"/>
              <w:left w:w="108" w:type="dxa"/>
              <w:bottom w:w="0" w:type="dxa"/>
              <w:right w:w="108" w:type="dxa"/>
            </w:tcMar>
          </w:tcPr>
          <w:p w14:paraId="742F5F86" w14:textId="77777777" w:rsidR="0092339A" w:rsidRPr="001D42A9" w:rsidRDefault="0092339A" w:rsidP="00BD6882">
            <w:pPr>
              <w:ind w:right="-117"/>
              <w:rPr>
                <w:sz w:val="20"/>
              </w:rPr>
            </w:pPr>
            <w:r w:rsidRPr="001D42A9">
              <w:rPr>
                <w:sz w:val="20"/>
              </w:rPr>
              <w:t>Mokomieji pažintiniai vizitai</w:t>
            </w:r>
          </w:p>
        </w:tc>
        <w:tc>
          <w:tcPr>
            <w:tcW w:w="2535" w:type="dxa"/>
            <w:shd w:val="clear" w:color="auto" w:fill="auto"/>
            <w:tcMar>
              <w:top w:w="0" w:type="dxa"/>
              <w:left w:w="108" w:type="dxa"/>
              <w:bottom w:w="0" w:type="dxa"/>
              <w:right w:w="108" w:type="dxa"/>
            </w:tcMar>
          </w:tcPr>
          <w:p w14:paraId="5870903D" w14:textId="77777777" w:rsidR="0092339A" w:rsidRPr="001D42A9" w:rsidRDefault="0092339A" w:rsidP="00BD6882">
            <w:pPr>
              <w:ind w:right="-110"/>
              <w:jc w:val="center"/>
              <w:rPr>
                <w:sz w:val="20"/>
              </w:rPr>
            </w:pPr>
            <w:r w:rsidRPr="001D42A9">
              <w:rPr>
                <w:sz w:val="20"/>
              </w:rPr>
              <w:t>PŽV</w:t>
            </w:r>
          </w:p>
        </w:tc>
        <w:tc>
          <w:tcPr>
            <w:tcW w:w="830" w:type="dxa"/>
            <w:shd w:val="clear" w:color="auto" w:fill="auto"/>
            <w:tcMar>
              <w:top w:w="0" w:type="dxa"/>
              <w:left w:w="108" w:type="dxa"/>
              <w:bottom w:w="0" w:type="dxa"/>
              <w:right w:w="108" w:type="dxa"/>
            </w:tcMar>
          </w:tcPr>
          <w:p w14:paraId="715A5809" w14:textId="77777777" w:rsidR="0092339A" w:rsidRPr="001D42A9" w:rsidRDefault="0092339A" w:rsidP="00BD6882">
            <w:pPr>
              <w:jc w:val="center"/>
              <w:rPr>
                <w:sz w:val="20"/>
              </w:rPr>
            </w:pPr>
            <w:r w:rsidRPr="001D42A9">
              <w:rPr>
                <w:sz w:val="20"/>
              </w:rPr>
              <w:t>2x8=16</w:t>
            </w:r>
          </w:p>
        </w:tc>
        <w:tc>
          <w:tcPr>
            <w:tcW w:w="1942" w:type="dxa"/>
            <w:shd w:val="clear" w:color="auto" w:fill="auto"/>
            <w:tcMar>
              <w:top w:w="0" w:type="dxa"/>
              <w:left w:w="108" w:type="dxa"/>
              <w:bottom w:w="0" w:type="dxa"/>
              <w:right w:w="108" w:type="dxa"/>
            </w:tcMar>
          </w:tcPr>
          <w:p w14:paraId="31F05658" w14:textId="77777777" w:rsidR="0092339A" w:rsidRPr="001D42A9" w:rsidRDefault="0092339A" w:rsidP="00BD6882">
            <w:pPr>
              <w:jc w:val="center"/>
              <w:rPr>
                <w:sz w:val="20"/>
              </w:rPr>
            </w:pPr>
            <w:r w:rsidRPr="001D42A9">
              <w:rPr>
                <w:sz w:val="20"/>
              </w:rPr>
              <w:t>2025 m.</w:t>
            </w:r>
          </w:p>
          <w:p w14:paraId="6C2D3838" w14:textId="77777777" w:rsidR="0092339A" w:rsidRPr="001D42A9" w:rsidRDefault="0092339A" w:rsidP="00BD6882">
            <w:pPr>
              <w:jc w:val="center"/>
              <w:rPr>
                <w:sz w:val="20"/>
              </w:rPr>
            </w:pPr>
            <w:r w:rsidRPr="001D42A9">
              <w:rPr>
                <w:sz w:val="20"/>
              </w:rPr>
              <w:t xml:space="preserve">Kovas – Balandis </w:t>
            </w:r>
          </w:p>
          <w:p w14:paraId="1DD2BCC6" w14:textId="44E5D950" w:rsidR="0092339A" w:rsidRPr="001D42A9" w:rsidRDefault="0092339A" w:rsidP="00BD6882">
            <w:pPr>
              <w:jc w:val="center"/>
              <w:rPr>
                <w:sz w:val="20"/>
              </w:rPr>
            </w:pPr>
            <w:r w:rsidRPr="001D42A9">
              <w:rPr>
                <w:sz w:val="20"/>
              </w:rPr>
              <w:t xml:space="preserve"> </w:t>
            </w:r>
            <w:r w:rsidRPr="001D42A9">
              <w:t xml:space="preserve"> </w:t>
            </w:r>
            <w:bookmarkStart w:id="2" w:name="_Hlk181174490"/>
            <w:bookmarkStart w:id="3" w:name="_Hlk181173025"/>
            <w:r w:rsidRPr="001D42A9">
              <w:rPr>
                <w:sz w:val="20"/>
              </w:rPr>
              <w:t xml:space="preserve">Džiaugsmo g. 44, Vilnius, </w:t>
            </w:r>
            <w:r w:rsidR="00B26BDA">
              <w:rPr>
                <w:sz w:val="20"/>
              </w:rPr>
              <w:t>LT-</w:t>
            </w:r>
            <w:r w:rsidRPr="001D42A9">
              <w:rPr>
                <w:sz w:val="20"/>
              </w:rPr>
              <w:t>11302 Vilniaus m. sav.;</w:t>
            </w:r>
          </w:p>
          <w:bookmarkEnd w:id="2"/>
          <w:p w14:paraId="38A0B84B" w14:textId="685354F0" w:rsidR="0092339A" w:rsidRPr="001D42A9" w:rsidRDefault="0092339A" w:rsidP="00BD6882">
            <w:pPr>
              <w:jc w:val="center"/>
              <w:rPr>
                <w:sz w:val="20"/>
              </w:rPr>
            </w:pPr>
            <w:r w:rsidRPr="001D42A9">
              <w:rPr>
                <w:sz w:val="20"/>
              </w:rPr>
              <w:t xml:space="preserve">Architektų g. 85, Vilnius, </w:t>
            </w:r>
            <w:r w:rsidR="00B26BDA">
              <w:rPr>
                <w:sz w:val="20"/>
              </w:rPr>
              <w:t>LT-</w:t>
            </w:r>
            <w:r w:rsidRPr="001D42A9">
              <w:rPr>
                <w:sz w:val="20"/>
              </w:rPr>
              <w:t>04208 Vilniaus m. sav.</w:t>
            </w:r>
            <w:bookmarkEnd w:id="3"/>
          </w:p>
        </w:tc>
        <w:tc>
          <w:tcPr>
            <w:tcW w:w="1110" w:type="dxa"/>
          </w:tcPr>
          <w:p w14:paraId="08CAF036" w14:textId="0F29D8B8" w:rsidR="0092339A" w:rsidRPr="001D42A9" w:rsidRDefault="0092339A" w:rsidP="0092339A">
            <w:pPr>
              <w:pStyle w:val="Sraopastraipa"/>
              <w:numPr>
                <w:ilvl w:val="0"/>
                <w:numId w:val="2"/>
              </w:numPr>
              <w:jc w:val="center"/>
              <w:rPr>
                <w:lang w:val="lt-LT"/>
              </w:rPr>
            </w:pPr>
          </w:p>
        </w:tc>
      </w:tr>
    </w:tbl>
    <w:p w14:paraId="5587CA12" w14:textId="2AAF7962" w:rsidR="0092339A" w:rsidRPr="001D42A9" w:rsidRDefault="0092339A" w:rsidP="0092339A">
      <w:pPr>
        <w:pStyle w:val="Sraopastraipa"/>
        <w:numPr>
          <w:ilvl w:val="1"/>
          <w:numId w:val="1"/>
        </w:numPr>
        <w:tabs>
          <w:tab w:val="left" w:pos="567"/>
        </w:tabs>
        <w:ind w:left="0" w:firstLine="0"/>
        <w:jc w:val="both"/>
        <w:rPr>
          <w:rFonts w:eastAsia="Calibri"/>
          <w:sz w:val="24"/>
          <w:szCs w:val="24"/>
          <w:lang w:val="lt-LT"/>
        </w:rPr>
      </w:pPr>
      <w:r w:rsidRPr="001D42A9">
        <w:rPr>
          <w:rFonts w:eastAsia="Calibri"/>
          <w:sz w:val="24"/>
          <w:szCs w:val="24"/>
          <w:lang w:val="lt-LT"/>
        </w:rPr>
        <w:t>Mokymų datos gali būti keičiamos abipusiu sutarimu, atsižvelgiant į nenumatytas aplinkybes ar organizacinius poreikius</w:t>
      </w:r>
      <w:r w:rsidR="00C72C22">
        <w:rPr>
          <w:rFonts w:eastAsia="Calibri"/>
          <w:sz w:val="24"/>
          <w:szCs w:val="24"/>
          <w:lang w:val="lt-LT"/>
        </w:rPr>
        <w:t>, nepriklausančius nuo Teikėjo</w:t>
      </w:r>
      <w:r w:rsidRPr="001D42A9">
        <w:rPr>
          <w:rFonts w:eastAsia="Calibri"/>
          <w:sz w:val="24"/>
          <w:szCs w:val="24"/>
          <w:lang w:val="lt-LT"/>
        </w:rPr>
        <w:t>.</w:t>
      </w:r>
    </w:p>
    <w:p w14:paraId="36C40AEC" w14:textId="72FB0F7E" w:rsidR="00C0181E" w:rsidRPr="00C0181E" w:rsidRDefault="00C0181E" w:rsidP="00C0181E">
      <w:pPr>
        <w:tabs>
          <w:tab w:val="left" w:pos="567"/>
        </w:tabs>
        <w:jc w:val="both"/>
        <w:rPr>
          <w:rFonts w:eastAsia="Calibri"/>
          <w:color w:val="auto"/>
          <w:szCs w:val="24"/>
        </w:rPr>
      </w:pPr>
      <w:r w:rsidRPr="00C0181E">
        <w:rPr>
          <w:rFonts w:eastAsia="Calibri"/>
          <w:szCs w:val="24"/>
        </w:rPr>
        <w:t>2.</w:t>
      </w:r>
      <w:r>
        <w:rPr>
          <w:rFonts w:eastAsia="Calibri"/>
          <w:szCs w:val="24"/>
        </w:rPr>
        <w:t xml:space="preserve">8. </w:t>
      </w:r>
      <w:r w:rsidR="0092339A" w:rsidRPr="00C0181E">
        <w:rPr>
          <w:rFonts w:eastAsia="Calibri"/>
          <w:szCs w:val="24"/>
        </w:rPr>
        <w:t xml:space="preserve">Kontaktiniai mokymai gali vykti adresu – V. Kudirkos g. 11, Naujoji Akmenė, LT-85165 Akmenės r. sav. Mokomieji pažintiniai vizitai (2 d.) gali </w:t>
      </w:r>
      <w:r w:rsidR="0092339A" w:rsidRPr="00C0181E">
        <w:rPr>
          <w:rFonts w:eastAsia="Calibri"/>
          <w:color w:val="auto"/>
          <w:szCs w:val="24"/>
        </w:rPr>
        <w:t xml:space="preserve">vykti Vilniaus mokyklose/įstaigose, kuriose praktiškai organizuojamas </w:t>
      </w:r>
      <w:proofErr w:type="spellStart"/>
      <w:r w:rsidR="0092339A" w:rsidRPr="00C0181E">
        <w:rPr>
          <w:rFonts w:eastAsia="Calibri"/>
          <w:color w:val="auto"/>
          <w:szCs w:val="24"/>
        </w:rPr>
        <w:t>įtraukusis</w:t>
      </w:r>
      <w:proofErr w:type="spellEnd"/>
      <w:r w:rsidR="0092339A" w:rsidRPr="00C0181E">
        <w:rPr>
          <w:rFonts w:eastAsia="Calibri"/>
          <w:color w:val="auto"/>
          <w:szCs w:val="24"/>
        </w:rPr>
        <w:t xml:space="preserve"> ugdymas</w:t>
      </w:r>
      <w:r w:rsidR="0092339A" w:rsidRPr="00C0181E">
        <w:rPr>
          <w:rFonts w:eastAsia="Calibri"/>
          <w:color w:val="auto"/>
          <w:kern w:val="2"/>
          <w:szCs w:val="24"/>
        </w:rPr>
        <w:t xml:space="preserve">: VšĮ ,,Penki pojūčiai“ bei ,,Upės teka“, individualių ugdymosi poreikių centras, Lietuvos Švietimo </w:t>
      </w:r>
      <w:proofErr w:type="spellStart"/>
      <w:r w:rsidR="0092339A" w:rsidRPr="00C0181E">
        <w:rPr>
          <w:rFonts w:eastAsia="Calibri"/>
          <w:color w:val="auto"/>
          <w:kern w:val="2"/>
          <w:szCs w:val="24"/>
        </w:rPr>
        <w:t>įtraukties</w:t>
      </w:r>
      <w:proofErr w:type="spellEnd"/>
      <w:r w:rsidR="0092339A" w:rsidRPr="00C0181E">
        <w:rPr>
          <w:rFonts w:eastAsia="Calibri"/>
          <w:color w:val="auto"/>
          <w:kern w:val="2"/>
          <w:szCs w:val="24"/>
        </w:rPr>
        <w:t xml:space="preserve"> centras ir ,,Palaimintojo </w:t>
      </w:r>
      <w:proofErr w:type="spellStart"/>
      <w:r w:rsidR="0092339A" w:rsidRPr="00C0181E">
        <w:rPr>
          <w:rFonts w:eastAsia="Calibri"/>
          <w:color w:val="auto"/>
          <w:kern w:val="2"/>
          <w:szCs w:val="24"/>
        </w:rPr>
        <w:t>Teofiliaus</w:t>
      </w:r>
      <w:proofErr w:type="spellEnd"/>
      <w:r w:rsidR="0092339A" w:rsidRPr="00C0181E">
        <w:rPr>
          <w:rFonts w:eastAsia="Calibri"/>
          <w:color w:val="auto"/>
          <w:kern w:val="2"/>
          <w:szCs w:val="24"/>
        </w:rPr>
        <w:t xml:space="preserve"> Matulionio“ gimnazija</w:t>
      </w:r>
      <w:r w:rsidRPr="00C0181E">
        <w:rPr>
          <w:rFonts w:eastAsia="Calibri"/>
          <w:color w:val="auto"/>
          <w:kern w:val="2"/>
          <w:szCs w:val="24"/>
        </w:rPr>
        <w:t xml:space="preserve">, adresu – </w:t>
      </w:r>
      <w:r w:rsidRPr="00C0181E">
        <w:rPr>
          <w:szCs w:val="24"/>
        </w:rPr>
        <w:t>Džiaugsmo g. 44, Vilnius, LT-11302 Vilniaus m. sav.;</w:t>
      </w:r>
      <w:r>
        <w:rPr>
          <w:szCs w:val="24"/>
        </w:rPr>
        <w:t xml:space="preserve"> </w:t>
      </w:r>
      <w:r w:rsidRPr="00C0181E">
        <w:rPr>
          <w:szCs w:val="24"/>
        </w:rPr>
        <w:t>Architektų g. 85, Vilnius, LT-04208 Vilniaus m. sav.</w:t>
      </w:r>
    </w:p>
    <w:p w14:paraId="5DC15FF8" w14:textId="77777777" w:rsidR="0092339A" w:rsidRPr="001D42A9" w:rsidRDefault="0092339A" w:rsidP="0092339A">
      <w:pPr>
        <w:pStyle w:val="Sraopastraipa"/>
        <w:numPr>
          <w:ilvl w:val="0"/>
          <w:numId w:val="1"/>
        </w:numPr>
        <w:tabs>
          <w:tab w:val="left" w:pos="567"/>
        </w:tabs>
        <w:spacing w:before="240" w:after="240" w:line="259" w:lineRule="auto"/>
        <w:jc w:val="center"/>
        <w:rPr>
          <w:rFonts w:eastAsia="Calibri"/>
          <w:b/>
          <w:bCs/>
          <w:sz w:val="24"/>
          <w:szCs w:val="24"/>
          <w:lang w:val="lt-LT"/>
        </w:rPr>
      </w:pPr>
      <w:r w:rsidRPr="001D42A9">
        <w:rPr>
          <w:rFonts w:eastAsia="Calibri"/>
          <w:b/>
          <w:bCs/>
          <w:sz w:val="24"/>
          <w:szCs w:val="24"/>
          <w:lang w:val="lt-LT"/>
        </w:rPr>
        <w:t>REIKALAVIMAI MOKYMŲ PROGRAMAI</w:t>
      </w:r>
    </w:p>
    <w:p w14:paraId="5E8B83B6" w14:textId="77777777" w:rsidR="0092339A" w:rsidRPr="001D42A9" w:rsidRDefault="0092339A" w:rsidP="0092339A">
      <w:pPr>
        <w:numPr>
          <w:ilvl w:val="1"/>
          <w:numId w:val="1"/>
        </w:numPr>
        <w:tabs>
          <w:tab w:val="left" w:pos="567"/>
        </w:tabs>
        <w:ind w:left="0" w:firstLine="0"/>
        <w:rPr>
          <w:rFonts w:eastAsia="Calibri"/>
          <w:color w:val="auto"/>
          <w:kern w:val="2"/>
          <w:szCs w:val="24"/>
        </w:rPr>
      </w:pPr>
      <w:bookmarkStart w:id="4" w:name="_Hlk167959117"/>
      <w:bookmarkEnd w:id="1"/>
      <w:r w:rsidRPr="001D42A9">
        <w:rPr>
          <w:rFonts w:eastAsia="Calibri"/>
          <w:color w:val="auto"/>
          <w:kern w:val="2"/>
          <w:szCs w:val="24"/>
        </w:rPr>
        <w:t>Teorinės Mokymų dalies (Mokymų programos) turinys turi apimti šias temines sritis:</w:t>
      </w:r>
      <w:bookmarkStart w:id="5" w:name="_Hlk175656415"/>
    </w:p>
    <w:p w14:paraId="2948B60F" w14:textId="77777777" w:rsidR="0092339A" w:rsidRPr="001D42A9" w:rsidRDefault="0092339A" w:rsidP="0092339A">
      <w:pPr>
        <w:tabs>
          <w:tab w:val="left" w:pos="567"/>
        </w:tabs>
        <w:rPr>
          <w:rFonts w:eastAsia="Calibri"/>
          <w:color w:val="auto"/>
          <w:kern w:val="2"/>
          <w:szCs w:val="24"/>
        </w:rPr>
      </w:pPr>
      <w:r w:rsidRPr="001D42A9">
        <w:rPr>
          <w:rFonts w:eastAsia="Calibri"/>
          <w:color w:val="auto"/>
          <w:kern w:val="2"/>
          <w:szCs w:val="24"/>
        </w:rPr>
        <w:tab/>
        <w:t>3.1.1. Įtraukiojo ugdymo samprata, principai ir vertybės;</w:t>
      </w:r>
    </w:p>
    <w:p w14:paraId="657D283A" w14:textId="77777777" w:rsidR="0092339A" w:rsidRPr="001D42A9" w:rsidRDefault="0092339A" w:rsidP="0092339A">
      <w:pPr>
        <w:tabs>
          <w:tab w:val="left" w:pos="567"/>
        </w:tabs>
        <w:rPr>
          <w:rFonts w:eastAsia="Calibri"/>
          <w:color w:val="auto"/>
          <w:kern w:val="2"/>
          <w:szCs w:val="24"/>
        </w:rPr>
      </w:pPr>
      <w:r w:rsidRPr="001D42A9">
        <w:rPr>
          <w:rFonts w:eastAsia="Calibri"/>
          <w:color w:val="auto"/>
          <w:kern w:val="2"/>
          <w:szCs w:val="24"/>
        </w:rPr>
        <w:tab/>
        <w:t>3.1.2. Įtraukiojo ugdymo vadybos pagrindai ir organizavimas;</w:t>
      </w:r>
    </w:p>
    <w:p w14:paraId="0D7D1D8D" w14:textId="77777777" w:rsidR="0092339A" w:rsidRPr="001D42A9" w:rsidRDefault="0092339A" w:rsidP="0092339A">
      <w:pPr>
        <w:tabs>
          <w:tab w:val="left" w:pos="567"/>
        </w:tabs>
        <w:rPr>
          <w:rFonts w:eastAsia="Calibri"/>
          <w:color w:val="auto"/>
          <w:kern w:val="2"/>
          <w:szCs w:val="24"/>
        </w:rPr>
      </w:pPr>
      <w:r w:rsidRPr="001D42A9">
        <w:rPr>
          <w:rFonts w:eastAsia="Calibri"/>
          <w:color w:val="auto"/>
          <w:kern w:val="2"/>
          <w:szCs w:val="24"/>
        </w:rPr>
        <w:tab/>
        <w:t>3.1.3. Mokymo programų ir ugdymo turinio pritaikymas;</w:t>
      </w:r>
    </w:p>
    <w:p w14:paraId="13E373F5" w14:textId="77777777" w:rsidR="0092339A" w:rsidRPr="001D42A9" w:rsidRDefault="0092339A" w:rsidP="0092339A">
      <w:pPr>
        <w:tabs>
          <w:tab w:val="left" w:pos="567"/>
        </w:tabs>
        <w:rPr>
          <w:rFonts w:eastAsia="Calibri"/>
          <w:color w:val="auto"/>
          <w:kern w:val="2"/>
          <w:szCs w:val="24"/>
        </w:rPr>
      </w:pPr>
      <w:r w:rsidRPr="001D42A9">
        <w:rPr>
          <w:rFonts w:eastAsia="Calibri"/>
          <w:color w:val="auto"/>
          <w:kern w:val="2"/>
          <w:szCs w:val="24"/>
        </w:rPr>
        <w:tab/>
        <w:t>3.1.4. Įtraukaus ugdymo inovatyvūs mokymo metodai, metodikos ir praktinės užduotys;</w:t>
      </w:r>
    </w:p>
    <w:p w14:paraId="17E4274B" w14:textId="77777777" w:rsidR="0092339A" w:rsidRPr="001D42A9" w:rsidRDefault="0092339A" w:rsidP="0092339A">
      <w:pPr>
        <w:tabs>
          <w:tab w:val="left" w:pos="567"/>
        </w:tabs>
        <w:rPr>
          <w:rFonts w:eastAsia="Calibri"/>
          <w:color w:val="auto"/>
          <w:kern w:val="2"/>
          <w:szCs w:val="24"/>
        </w:rPr>
      </w:pPr>
      <w:r w:rsidRPr="001D42A9">
        <w:rPr>
          <w:rFonts w:eastAsia="Calibri"/>
          <w:color w:val="auto"/>
          <w:kern w:val="2"/>
          <w:szCs w:val="24"/>
        </w:rPr>
        <w:tab/>
        <w:t xml:space="preserve">3.1.5. Įtraukaus ugdymo praktinis taikymas; </w:t>
      </w:r>
    </w:p>
    <w:p w14:paraId="26C41EF2" w14:textId="77777777" w:rsidR="0092339A" w:rsidRPr="001D42A9" w:rsidRDefault="0092339A" w:rsidP="0092339A">
      <w:pPr>
        <w:tabs>
          <w:tab w:val="left" w:pos="567"/>
        </w:tabs>
        <w:rPr>
          <w:rFonts w:eastAsia="Calibri"/>
          <w:color w:val="auto"/>
          <w:kern w:val="2"/>
          <w:szCs w:val="24"/>
        </w:rPr>
      </w:pPr>
      <w:r w:rsidRPr="001D42A9">
        <w:rPr>
          <w:rFonts w:eastAsia="Calibri"/>
          <w:color w:val="auto"/>
          <w:kern w:val="2"/>
          <w:szCs w:val="24"/>
        </w:rPr>
        <w:tab/>
        <w:t>3.1.6. Atvejų studijos ir analizė;</w:t>
      </w:r>
    </w:p>
    <w:p w14:paraId="4CE3F451" w14:textId="77777777" w:rsidR="0092339A" w:rsidRPr="001D42A9" w:rsidRDefault="0092339A" w:rsidP="0092339A">
      <w:pPr>
        <w:tabs>
          <w:tab w:val="left" w:pos="567"/>
        </w:tabs>
        <w:rPr>
          <w:rFonts w:eastAsia="Calibri"/>
          <w:color w:val="auto"/>
          <w:kern w:val="2"/>
          <w:szCs w:val="24"/>
        </w:rPr>
      </w:pPr>
      <w:r w:rsidRPr="001D42A9">
        <w:rPr>
          <w:rFonts w:eastAsia="Calibri"/>
          <w:color w:val="auto"/>
          <w:kern w:val="2"/>
          <w:szCs w:val="24"/>
        </w:rPr>
        <w:tab/>
        <w:t>3.1.7. Įtraukiojo ugdymo įvertinimas ir tobulinimas.</w:t>
      </w:r>
      <w:bookmarkEnd w:id="5"/>
    </w:p>
    <w:p w14:paraId="6020AF6D" w14:textId="77777777" w:rsidR="0092339A" w:rsidRPr="001D42A9" w:rsidRDefault="0092339A" w:rsidP="0092339A">
      <w:pPr>
        <w:tabs>
          <w:tab w:val="left" w:pos="567"/>
        </w:tabs>
        <w:jc w:val="both"/>
        <w:rPr>
          <w:rFonts w:eastAsia="Calibri"/>
          <w:color w:val="auto"/>
          <w:kern w:val="2"/>
          <w:szCs w:val="24"/>
        </w:rPr>
      </w:pPr>
      <w:r w:rsidRPr="001D42A9">
        <w:rPr>
          <w:rFonts w:eastAsia="Calibri"/>
          <w:color w:val="auto"/>
          <w:kern w:val="2"/>
          <w:szCs w:val="24"/>
        </w:rPr>
        <w:t xml:space="preserve">3.2. Praktinės dalies (Mokymų programos) turinys lankantis Vilniaus mokyklose/įstaigose, kuriose praktiškai organizuojamas </w:t>
      </w:r>
      <w:proofErr w:type="spellStart"/>
      <w:r w:rsidRPr="001D42A9">
        <w:rPr>
          <w:rFonts w:eastAsia="Calibri"/>
          <w:color w:val="auto"/>
          <w:kern w:val="2"/>
          <w:szCs w:val="24"/>
        </w:rPr>
        <w:t>įtraukusis</w:t>
      </w:r>
      <w:proofErr w:type="spellEnd"/>
      <w:r w:rsidRPr="001D42A9">
        <w:rPr>
          <w:rFonts w:eastAsia="Calibri"/>
          <w:color w:val="auto"/>
          <w:kern w:val="2"/>
          <w:szCs w:val="24"/>
        </w:rPr>
        <w:t xml:space="preserve"> ugdymas (ugdymo turinio, mokytojų rengimo, pagalbos mokiniui, mokytojui, mokyklai, vertinimo ir pan. sritys), turi apimti mažiausiai dvi gerosios patirties sklaidos formas (iš pateikiamų): </w:t>
      </w:r>
      <w:r w:rsidRPr="001D42A9">
        <w:rPr>
          <w:rFonts w:eastAsia="Calibri"/>
          <w:i/>
          <w:iCs/>
          <w:color w:val="auto"/>
          <w:kern w:val="2"/>
          <w:szCs w:val="24"/>
        </w:rPr>
        <w:t>atvira pamoka ir jos aptarimas, kūrybinės dirbtuvės, diskusija, praktikumas, pranešimas, pristatymas, refleksija, sėkmės istorija.</w:t>
      </w:r>
      <w:bookmarkEnd w:id="4"/>
    </w:p>
    <w:p w14:paraId="60F6C6EE" w14:textId="77777777" w:rsidR="0092339A" w:rsidRPr="001D42A9" w:rsidRDefault="0092339A" w:rsidP="0092339A">
      <w:pPr>
        <w:tabs>
          <w:tab w:val="left" w:pos="567"/>
        </w:tabs>
        <w:jc w:val="both"/>
        <w:rPr>
          <w:rFonts w:eastAsia="Calibri"/>
          <w:color w:val="auto"/>
          <w:kern w:val="2"/>
          <w:szCs w:val="24"/>
        </w:rPr>
      </w:pPr>
      <w:r w:rsidRPr="001D42A9">
        <w:rPr>
          <w:rFonts w:eastAsia="Calibri"/>
          <w:color w:val="auto"/>
          <w:kern w:val="2"/>
          <w:szCs w:val="24"/>
        </w:rPr>
        <w:t>3.3. Paslaugų detalizavimas: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29"/>
        <w:gridCol w:w="1276"/>
        <w:gridCol w:w="2268"/>
        <w:gridCol w:w="1418"/>
        <w:gridCol w:w="2629"/>
      </w:tblGrid>
      <w:tr w:rsidR="0092339A" w:rsidRPr="001D42A9" w14:paraId="0B76720C" w14:textId="77777777" w:rsidTr="00C0181E">
        <w:tc>
          <w:tcPr>
            <w:tcW w:w="534" w:type="dxa"/>
            <w:shd w:val="clear" w:color="auto" w:fill="auto"/>
          </w:tcPr>
          <w:p w14:paraId="763A8C99" w14:textId="77777777" w:rsidR="0092339A" w:rsidRPr="001D42A9" w:rsidRDefault="0092339A" w:rsidP="00BD6882">
            <w:pPr>
              <w:jc w:val="center"/>
              <w:rPr>
                <w:rFonts w:eastAsia="Calibri"/>
                <w:b/>
                <w:bCs/>
                <w:color w:val="auto"/>
                <w:kern w:val="2"/>
                <w:sz w:val="20"/>
              </w:rPr>
            </w:pPr>
            <w:r w:rsidRPr="001D42A9">
              <w:rPr>
                <w:rFonts w:eastAsia="Calibri"/>
                <w:b/>
                <w:bCs/>
                <w:color w:val="auto"/>
                <w:kern w:val="2"/>
                <w:sz w:val="20"/>
              </w:rPr>
              <w:t xml:space="preserve">Eil. </w:t>
            </w:r>
          </w:p>
          <w:p w14:paraId="3F30B840" w14:textId="77777777" w:rsidR="0092339A" w:rsidRPr="001D42A9" w:rsidRDefault="0092339A" w:rsidP="00BD6882">
            <w:pPr>
              <w:jc w:val="center"/>
              <w:rPr>
                <w:rFonts w:eastAsia="Calibri"/>
                <w:b/>
                <w:bCs/>
                <w:color w:val="auto"/>
                <w:kern w:val="2"/>
                <w:sz w:val="20"/>
              </w:rPr>
            </w:pPr>
            <w:r w:rsidRPr="001D42A9">
              <w:rPr>
                <w:rFonts w:eastAsia="Calibri"/>
                <w:b/>
                <w:bCs/>
                <w:color w:val="auto"/>
                <w:kern w:val="2"/>
                <w:sz w:val="20"/>
              </w:rPr>
              <w:t>Nr.</w:t>
            </w:r>
          </w:p>
        </w:tc>
        <w:tc>
          <w:tcPr>
            <w:tcW w:w="1729" w:type="dxa"/>
            <w:shd w:val="clear" w:color="auto" w:fill="auto"/>
            <w:vAlign w:val="center"/>
          </w:tcPr>
          <w:p w14:paraId="4B195407" w14:textId="77777777" w:rsidR="0092339A" w:rsidRPr="001D42A9" w:rsidRDefault="0092339A" w:rsidP="00BD6882">
            <w:pPr>
              <w:jc w:val="center"/>
              <w:rPr>
                <w:rFonts w:eastAsia="Calibri"/>
                <w:b/>
                <w:bCs/>
                <w:color w:val="auto"/>
                <w:kern w:val="2"/>
                <w:sz w:val="20"/>
              </w:rPr>
            </w:pPr>
            <w:r w:rsidRPr="001D42A9">
              <w:rPr>
                <w:rFonts w:eastAsia="Calibri"/>
                <w:b/>
                <w:bCs/>
                <w:color w:val="auto"/>
                <w:kern w:val="2"/>
                <w:sz w:val="20"/>
              </w:rPr>
              <w:t>Paslaugos</w:t>
            </w:r>
          </w:p>
        </w:tc>
        <w:tc>
          <w:tcPr>
            <w:tcW w:w="1276" w:type="dxa"/>
            <w:shd w:val="clear" w:color="auto" w:fill="auto"/>
            <w:vAlign w:val="center"/>
          </w:tcPr>
          <w:p w14:paraId="25B97626" w14:textId="77777777" w:rsidR="0092339A" w:rsidRPr="001D42A9" w:rsidRDefault="0092339A" w:rsidP="00BD6882">
            <w:pPr>
              <w:jc w:val="center"/>
              <w:rPr>
                <w:rFonts w:eastAsia="Calibri"/>
                <w:b/>
                <w:bCs/>
                <w:color w:val="auto"/>
                <w:kern w:val="2"/>
                <w:sz w:val="20"/>
              </w:rPr>
            </w:pPr>
            <w:r w:rsidRPr="001D42A9">
              <w:rPr>
                <w:rFonts w:eastAsia="Calibri"/>
                <w:b/>
                <w:bCs/>
                <w:color w:val="auto"/>
                <w:kern w:val="2"/>
                <w:sz w:val="20"/>
              </w:rPr>
              <w:t>Dalyvių skaičius</w:t>
            </w:r>
          </w:p>
        </w:tc>
        <w:tc>
          <w:tcPr>
            <w:tcW w:w="2268" w:type="dxa"/>
            <w:shd w:val="clear" w:color="auto" w:fill="auto"/>
            <w:vAlign w:val="center"/>
          </w:tcPr>
          <w:p w14:paraId="56F64EF8" w14:textId="77777777" w:rsidR="0092339A" w:rsidRPr="001D42A9" w:rsidRDefault="0092339A" w:rsidP="00BD6882">
            <w:pPr>
              <w:jc w:val="center"/>
              <w:rPr>
                <w:rFonts w:eastAsia="Calibri"/>
                <w:b/>
                <w:bCs/>
                <w:color w:val="auto"/>
                <w:kern w:val="2"/>
                <w:sz w:val="20"/>
              </w:rPr>
            </w:pPr>
            <w:r w:rsidRPr="001D42A9">
              <w:rPr>
                <w:rFonts w:eastAsia="Calibri"/>
                <w:b/>
                <w:bCs/>
                <w:color w:val="auto"/>
                <w:kern w:val="2"/>
                <w:sz w:val="20"/>
              </w:rPr>
              <w:t>Užsiėmimų skaičius padaugintas iš darbo dienos trukmės išreikštos ak. val.</w:t>
            </w:r>
          </w:p>
        </w:tc>
        <w:tc>
          <w:tcPr>
            <w:tcW w:w="1418" w:type="dxa"/>
            <w:shd w:val="clear" w:color="auto" w:fill="auto"/>
            <w:vAlign w:val="center"/>
          </w:tcPr>
          <w:p w14:paraId="42405EA7" w14:textId="77777777" w:rsidR="0092339A" w:rsidRPr="001D42A9" w:rsidRDefault="0092339A" w:rsidP="00BD6882">
            <w:pPr>
              <w:tabs>
                <w:tab w:val="left" w:pos="567"/>
              </w:tabs>
              <w:jc w:val="center"/>
              <w:rPr>
                <w:rFonts w:eastAsia="Calibri"/>
                <w:b/>
                <w:bCs/>
                <w:color w:val="auto"/>
                <w:kern w:val="2"/>
                <w:sz w:val="20"/>
              </w:rPr>
            </w:pPr>
            <w:r w:rsidRPr="001D42A9">
              <w:rPr>
                <w:rFonts w:eastAsia="Calibri"/>
                <w:b/>
                <w:bCs/>
                <w:color w:val="auto"/>
                <w:kern w:val="2"/>
                <w:sz w:val="20"/>
              </w:rPr>
              <w:t>Būdas;</w:t>
            </w:r>
          </w:p>
          <w:p w14:paraId="3A7C0F59" w14:textId="77777777" w:rsidR="0092339A" w:rsidRPr="001D42A9" w:rsidRDefault="0092339A" w:rsidP="00BD6882">
            <w:pPr>
              <w:jc w:val="center"/>
              <w:rPr>
                <w:rFonts w:eastAsia="Calibri"/>
                <w:b/>
                <w:bCs/>
                <w:color w:val="auto"/>
                <w:kern w:val="2"/>
                <w:sz w:val="20"/>
              </w:rPr>
            </w:pPr>
            <w:r w:rsidRPr="001D42A9">
              <w:rPr>
                <w:rFonts w:eastAsia="Calibri"/>
                <w:b/>
                <w:bCs/>
                <w:color w:val="auto"/>
                <w:kern w:val="2"/>
                <w:sz w:val="20"/>
              </w:rPr>
              <w:t>Trukmė, ak. val.</w:t>
            </w:r>
          </w:p>
        </w:tc>
        <w:tc>
          <w:tcPr>
            <w:tcW w:w="2629" w:type="dxa"/>
            <w:shd w:val="clear" w:color="auto" w:fill="auto"/>
            <w:vAlign w:val="center"/>
          </w:tcPr>
          <w:p w14:paraId="4465ABA3" w14:textId="77777777" w:rsidR="0092339A" w:rsidRPr="001D42A9" w:rsidRDefault="0092339A" w:rsidP="00BD6882">
            <w:pPr>
              <w:jc w:val="center"/>
              <w:rPr>
                <w:rFonts w:eastAsia="Calibri"/>
                <w:b/>
                <w:bCs/>
                <w:color w:val="auto"/>
                <w:kern w:val="2"/>
                <w:sz w:val="20"/>
              </w:rPr>
            </w:pPr>
            <w:r w:rsidRPr="001D42A9">
              <w:rPr>
                <w:rFonts w:eastAsia="Calibri"/>
                <w:b/>
                <w:bCs/>
                <w:color w:val="auto"/>
                <w:kern w:val="2"/>
                <w:sz w:val="20"/>
              </w:rPr>
              <w:t>Vieta</w:t>
            </w:r>
          </w:p>
        </w:tc>
      </w:tr>
      <w:tr w:rsidR="0092339A" w:rsidRPr="001D42A9" w14:paraId="08004595" w14:textId="77777777" w:rsidTr="00C0181E">
        <w:trPr>
          <w:trHeight w:val="254"/>
        </w:trPr>
        <w:tc>
          <w:tcPr>
            <w:tcW w:w="534" w:type="dxa"/>
            <w:vMerge w:val="restart"/>
            <w:shd w:val="clear" w:color="auto" w:fill="auto"/>
          </w:tcPr>
          <w:p w14:paraId="5A01E410" w14:textId="77777777" w:rsidR="0092339A" w:rsidRPr="001D42A9" w:rsidRDefault="0092339A" w:rsidP="00BD6882">
            <w:pPr>
              <w:rPr>
                <w:rFonts w:eastAsia="Calibri"/>
                <w:color w:val="auto"/>
                <w:kern w:val="2"/>
                <w:sz w:val="20"/>
              </w:rPr>
            </w:pPr>
            <w:r w:rsidRPr="001D42A9">
              <w:rPr>
                <w:rFonts w:eastAsia="Calibri"/>
                <w:color w:val="auto"/>
                <w:kern w:val="2"/>
                <w:sz w:val="20"/>
              </w:rPr>
              <w:t>1.</w:t>
            </w:r>
          </w:p>
        </w:tc>
        <w:tc>
          <w:tcPr>
            <w:tcW w:w="1729" w:type="dxa"/>
            <w:vMerge w:val="restart"/>
            <w:shd w:val="clear" w:color="auto" w:fill="auto"/>
          </w:tcPr>
          <w:p w14:paraId="15973260" w14:textId="77777777" w:rsidR="0092339A" w:rsidRPr="001D42A9" w:rsidRDefault="0092339A" w:rsidP="00BD6882">
            <w:pPr>
              <w:rPr>
                <w:rFonts w:eastAsia="Calibri"/>
                <w:color w:val="auto"/>
                <w:kern w:val="2"/>
                <w:sz w:val="20"/>
              </w:rPr>
            </w:pPr>
            <w:r w:rsidRPr="001D42A9">
              <w:rPr>
                <w:rFonts w:eastAsia="Calibri"/>
                <w:color w:val="auto"/>
                <w:kern w:val="2"/>
                <w:sz w:val="20"/>
              </w:rPr>
              <w:t>Teoriniai – praktiniai (patirtiniai) mokymai</w:t>
            </w:r>
          </w:p>
        </w:tc>
        <w:tc>
          <w:tcPr>
            <w:tcW w:w="1276" w:type="dxa"/>
            <w:vMerge w:val="restart"/>
            <w:shd w:val="clear" w:color="auto" w:fill="auto"/>
          </w:tcPr>
          <w:p w14:paraId="64744A50"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10</w:t>
            </w:r>
          </w:p>
        </w:tc>
        <w:tc>
          <w:tcPr>
            <w:tcW w:w="2268" w:type="dxa"/>
            <w:shd w:val="clear" w:color="auto" w:fill="auto"/>
          </w:tcPr>
          <w:p w14:paraId="5C53DD2A" w14:textId="77777777" w:rsidR="0092339A" w:rsidRPr="001D42A9" w:rsidRDefault="0092339A" w:rsidP="00BD6882">
            <w:pPr>
              <w:numPr>
                <w:ilvl w:val="1"/>
                <w:numId w:val="0"/>
              </w:numPr>
              <w:ind w:firstLine="567"/>
              <w:rPr>
                <w:color w:val="auto"/>
                <w:spacing w:val="15"/>
                <w:kern w:val="2"/>
                <w:sz w:val="20"/>
              </w:rPr>
            </w:pPr>
            <w:r w:rsidRPr="001D42A9">
              <w:rPr>
                <w:color w:val="auto"/>
                <w:spacing w:val="15"/>
                <w:kern w:val="2"/>
                <w:sz w:val="20"/>
              </w:rPr>
              <w:t>2 x 8 ak. val.</w:t>
            </w:r>
          </w:p>
        </w:tc>
        <w:tc>
          <w:tcPr>
            <w:tcW w:w="1418" w:type="dxa"/>
            <w:shd w:val="clear" w:color="auto" w:fill="auto"/>
          </w:tcPr>
          <w:p w14:paraId="18588900"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 xml:space="preserve">Kontaktinis: </w:t>
            </w:r>
          </w:p>
          <w:p w14:paraId="178C7854"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16 ak. val.</w:t>
            </w:r>
          </w:p>
        </w:tc>
        <w:tc>
          <w:tcPr>
            <w:tcW w:w="2629" w:type="dxa"/>
            <w:shd w:val="clear" w:color="auto" w:fill="auto"/>
          </w:tcPr>
          <w:p w14:paraId="02F0F241"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V. Kudirkos g. 11, Naujoji Akmenė,</w:t>
            </w:r>
          </w:p>
          <w:p w14:paraId="708A62E1"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 xml:space="preserve"> LT-85165 Akmenės r. sav.</w:t>
            </w:r>
          </w:p>
        </w:tc>
      </w:tr>
      <w:tr w:rsidR="0092339A" w:rsidRPr="001D42A9" w14:paraId="022694AB" w14:textId="77777777" w:rsidTr="00C0181E">
        <w:trPr>
          <w:trHeight w:val="254"/>
        </w:trPr>
        <w:tc>
          <w:tcPr>
            <w:tcW w:w="534" w:type="dxa"/>
            <w:vMerge/>
            <w:shd w:val="clear" w:color="auto" w:fill="auto"/>
          </w:tcPr>
          <w:p w14:paraId="0D7A28A5" w14:textId="77777777" w:rsidR="0092339A" w:rsidRPr="001D42A9" w:rsidRDefault="0092339A" w:rsidP="00BD6882">
            <w:pPr>
              <w:rPr>
                <w:rFonts w:eastAsia="Calibri"/>
                <w:color w:val="auto"/>
                <w:kern w:val="2"/>
                <w:sz w:val="20"/>
              </w:rPr>
            </w:pPr>
          </w:p>
        </w:tc>
        <w:tc>
          <w:tcPr>
            <w:tcW w:w="1729" w:type="dxa"/>
            <w:vMerge/>
            <w:shd w:val="clear" w:color="auto" w:fill="auto"/>
          </w:tcPr>
          <w:p w14:paraId="2275E84F" w14:textId="77777777" w:rsidR="0092339A" w:rsidRPr="001D42A9" w:rsidRDefault="0092339A" w:rsidP="00BD6882">
            <w:pPr>
              <w:rPr>
                <w:rFonts w:eastAsia="Calibri"/>
                <w:color w:val="auto"/>
                <w:kern w:val="2"/>
                <w:sz w:val="20"/>
              </w:rPr>
            </w:pPr>
          </w:p>
        </w:tc>
        <w:tc>
          <w:tcPr>
            <w:tcW w:w="1276" w:type="dxa"/>
            <w:vMerge/>
            <w:shd w:val="clear" w:color="auto" w:fill="auto"/>
          </w:tcPr>
          <w:p w14:paraId="205DD22D" w14:textId="77777777" w:rsidR="0092339A" w:rsidRPr="001D42A9" w:rsidRDefault="0092339A" w:rsidP="00BD6882">
            <w:pPr>
              <w:jc w:val="center"/>
              <w:rPr>
                <w:rFonts w:eastAsia="Calibri"/>
                <w:color w:val="auto"/>
                <w:kern w:val="2"/>
                <w:sz w:val="20"/>
              </w:rPr>
            </w:pPr>
          </w:p>
        </w:tc>
        <w:tc>
          <w:tcPr>
            <w:tcW w:w="2268" w:type="dxa"/>
            <w:shd w:val="clear" w:color="auto" w:fill="auto"/>
          </w:tcPr>
          <w:p w14:paraId="4A54DA05" w14:textId="77777777" w:rsidR="0092339A" w:rsidRPr="001D42A9" w:rsidRDefault="0092339A" w:rsidP="00BD6882">
            <w:pPr>
              <w:numPr>
                <w:ilvl w:val="1"/>
                <w:numId w:val="0"/>
              </w:numPr>
              <w:ind w:firstLine="567"/>
              <w:rPr>
                <w:color w:val="auto"/>
                <w:spacing w:val="15"/>
                <w:kern w:val="2"/>
                <w:sz w:val="20"/>
              </w:rPr>
            </w:pPr>
            <w:r w:rsidRPr="001D42A9">
              <w:rPr>
                <w:color w:val="auto"/>
                <w:spacing w:val="15"/>
                <w:kern w:val="2"/>
                <w:sz w:val="20"/>
              </w:rPr>
              <w:t>1 x 8 ak. val.</w:t>
            </w:r>
          </w:p>
        </w:tc>
        <w:tc>
          <w:tcPr>
            <w:tcW w:w="1418" w:type="dxa"/>
            <w:shd w:val="clear" w:color="auto" w:fill="auto"/>
          </w:tcPr>
          <w:p w14:paraId="343CCB35"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Nuotolinis:</w:t>
            </w:r>
          </w:p>
          <w:p w14:paraId="1B4C7E7B"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 xml:space="preserve"> 8 ak. val.</w:t>
            </w:r>
          </w:p>
        </w:tc>
        <w:tc>
          <w:tcPr>
            <w:tcW w:w="2629" w:type="dxa"/>
            <w:shd w:val="clear" w:color="auto" w:fill="auto"/>
          </w:tcPr>
          <w:p w14:paraId="609D006F" w14:textId="77777777" w:rsidR="0092339A" w:rsidRPr="001D42A9" w:rsidRDefault="0092339A" w:rsidP="00BD6882">
            <w:pPr>
              <w:jc w:val="center"/>
              <w:rPr>
                <w:rFonts w:eastAsia="Calibri"/>
                <w:color w:val="auto"/>
                <w:kern w:val="2"/>
                <w:sz w:val="20"/>
              </w:rPr>
            </w:pPr>
            <w:proofErr w:type="spellStart"/>
            <w:r w:rsidRPr="001D42A9">
              <w:rPr>
                <w:rFonts w:eastAsia="Calibri"/>
                <w:i/>
                <w:iCs/>
                <w:color w:val="auto"/>
                <w:kern w:val="2"/>
                <w:sz w:val="20"/>
              </w:rPr>
              <w:t>Zoom</w:t>
            </w:r>
            <w:proofErr w:type="spellEnd"/>
            <w:r w:rsidRPr="001D42A9">
              <w:rPr>
                <w:rFonts w:eastAsia="Calibri"/>
                <w:i/>
                <w:iCs/>
                <w:color w:val="auto"/>
                <w:kern w:val="2"/>
                <w:sz w:val="20"/>
              </w:rPr>
              <w:t xml:space="preserve"> </w:t>
            </w:r>
            <w:r w:rsidRPr="001D42A9">
              <w:rPr>
                <w:rFonts w:eastAsia="Calibri"/>
                <w:color w:val="auto"/>
                <w:kern w:val="2"/>
                <w:sz w:val="20"/>
              </w:rPr>
              <w:t>platforma</w:t>
            </w:r>
          </w:p>
        </w:tc>
      </w:tr>
      <w:tr w:rsidR="0092339A" w:rsidRPr="001D42A9" w14:paraId="6407292F" w14:textId="77777777" w:rsidTr="00C0181E">
        <w:tc>
          <w:tcPr>
            <w:tcW w:w="534" w:type="dxa"/>
            <w:shd w:val="clear" w:color="auto" w:fill="auto"/>
          </w:tcPr>
          <w:p w14:paraId="1D221EA4" w14:textId="77777777" w:rsidR="0092339A" w:rsidRPr="001D42A9" w:rsidRDefault="0092339A" w:rsidP="00BD6882">
            <w:pPr>
              <w:jc w:val="both"/>
              <w:rPr>
                <w:rFonts w:eastAsia="Calibri"/>
                <w:color w:val="auto"/>
                <w:kern w:val="2"/>
                <w:sz w:val="20"/>
              </w:rPr>
            </w:pPr>
            <w:r w:rsidRPr="001D42A9">
              <w:rPr>
                <w:rFonts w:eastAsia="Calibri"/>
                <w:color w:val="auto"/>
                <w:kern w:val="2"/>
                <w:sz w:val="20"/>
              </w:rPr>
              <w:t xml:space="preserve">2. </w:t>
            </w:r>
          </w:p>
        </w:tc>
        <w:tc>
          <w:tcPr>
            <w:tcW w:w="1729" w:type="dxa"/>
            <w:shd w:val="clear" w:color="auto" w:fill="auto"/>
          </w:tcPr>
          <w:p w14:paraId="40FE4E1A" w14:textId="77777777" w:rsidR="0092339A" w:rsidRPr="001D42A9" w:rsidRDefault="0092339A" w:rsidP="00BD6882">
            <w:pPr>
              <w:rPr>
                <w:rFonts w:eastAsia="Calibri"/>
                <w:color w:val="auto"/>
                <w:kern w:val="2"/>
                <w:sz w:val="20"/>
              </w:rPr>
            </w:pPr>
            <w:r w:rsidRPr="001D42A9">
              <w:rPr>
                <w:rFonts w:eastAsia="Calibri"/>
                <w:color w:val="auto"/>
                <w:kern w:val="2"/>
                <w:sz w:val="20"/>
              </w:rPr>
              <w:t>Mokomieji pažintiniai vizitai</w:t>
            </w:r>
          </w:p>
        </w:tc>
        <w:tc>
          <w:tcPr>
            <w:tcW w:w="1276" w:type="dxa"/>
            <w:shd w:val="clear" w:color="auto" w:fill="auto"/>
          </w:tcPr>
          <w:p w14:paraId="770701BA"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10</w:t>
            </w:r>
          </w:p>
        </w:tc>
        <w:tc>
          <w:tcPr>
            <w:tcW w:w="2268" w:type="dxa"/>
            <w:shd w:val="clear" w:color="auto" w:fill="auto"/>
          </w:tcPr>
          <w:p w14:paraId="62DA24F2"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2 x 8 ak. val.</w:t>
            </w:r>
          </w:p>
        </w:tc>
        <w:tc>
          <w:tcPr>
            <w:tcW w:w="1418" w:type="dxa"/>
            <w:shd w:val="clear" w:color="auto" w:fill="auto"/>
          </w:tcPr>
          <w:p w14:paraId="65C832CD"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Kontaktinis:</w:t>
            </w:r>
          </w:p>
          <w:p w14:paraId="4C51C8F9" w14:textId="77777777" w:rsidR="0092339A" w:rsidRPr="001D42A9" w:rsidRDefault="0092339A" w:rsidP="00BD6882">
            <w:pPr>
              <w:jc w:val="center"/>
              <w:rPr>
                <w:rFonts w:eastAsia="Calibri"/>
                <w:color w:val="auto"/>
                <w:kern w:val="2"/>
                <w:sz w:val="20"/>
              </w:rPr>
            </w:pPr>
            <w:r w:rsidRPr="001D42A9">
              <w:rPr>
                <w:rFonts w:eastAsia="Calibri"/>
                <w:color w:val="auto"/>
                <w:kern w:val="2"/>
                <w:sz w:val="20"/>
              </w:rPr>
              <w:t>16 ak. val.</w:t>
            </w:r>
          </w:p>
          <w:p w14:paraId="7897E4E0" w14:textId="77777777" w:rsidR="0092339A" w:rsidRPr="001D42A9" w:rsidRDefault="0092339A" w:rsidP="00BD6882">
            <w:pPr>
              <w:jc w:val="center"/>
              <w:rPr>
                <w:rFonts w:eastAsia="Calibri"/>
                <w:color w:val="auto"/>
                <w:kern w:val="2"/>
                <w:sz w:val="20"/>
              </w:rPr>
            </w:pPr>
          </w:p>
        </w:tc>
        <w:tc>
          <w:tcPr>
            <w:tcW w:w="2629" w:type="dxa"/>
            <w:shd w:val="clear" w:color="auto" w:fill="auto"/>
          </w:tcPr>
          <w:p w14:paraId="76345F35" w14:textId="073DAADD" w:rsidR="0092339A" w:rsidRPr="001D42A9" w:rsidRDefault="0092339A" w:rsidP="00BD6882">
            <w:pPr>
              <w:jc w:val="center"/>
              <w:rPr>
                <w:rFonts w:eastAsia="Calibri"/>
                <w:color w:val="auto"/>
                <w:kern w:val="2"/>
                <w:sz w:val="20"/>
              </w:rPr>
            </w:pPr>
            <w:r w:rsidRPr="001D42A9">
              <w:rPr>
                <w:rFonts w:eastAsia="Calibri"/>
                <w:color w:val="auto"/>
                <w:kern w:val="2"/>
                <w:sz w:val="20"/>
              </w:rPr>
              <w:t xml:space="preserve">Džiaugsmo g. 44, Vilnius, </w:t>
            </w:r>
            <w:r w:rsidR="00B26BDA">
              <w:rPr>
                <w:rFonts w:eastAsia="Calibri"/>
                <w:color w:val="auto"/>
                <w:kern w:val="2"/>
                <w:sz w:val="20"/>
              </w:rPr>
              <w:t>LT-</w:t>
            </w:r>
            <w:r w:rsidRPr="001D42A9">
              <w:rPr>
                <w:rFonts w:eastAsia="Calibri"/>
                <w:color w:val="auto"/>
                <w:kern w:val="2"/>
                <w:sz w:val="20"/>
              </w:rPr>
              <w:t>11302 Vilniaus m. sav.;</w:t>
            </w:r>
          </w:p>
          <w:p w14:paraId="52355B94" w14:textId="5AE506D6" w:rsidR="0092339A" w:rsidRPr="001D42A9" w:rsidRDefault="0092339A" w:rsidP="00BD6882">
            <w:pPr>
              <w:jc w:val="center"/>
              <w:rPr>
                <w:rFonts w:eastAsia="Calibri"/>
                <w:color w:val="auto"/>
                <w:kern w:val="2"/>
                <w:sz w:val="20"/>
              </w:rPr>
            </w:pPr>
            <w:r w:rsidRPr="001D42A9">
              <w:rPr>
                <w:rFonts w:eastAsia="Calibri"/>
                <w:color w:val="auto"/>
                <w:kern w:val="2"/>
                <w:sz w:val="20"/>
              </w:rPr>
              <w:t xml:space="preserve">Architektų g. 85, Vilnius, </w:t>
            </w:r>
            <w:r w:rsidR="00B26BDA">
              <w:rPr>
                <w:rFonts w:eastAsia="Calibri"/>
                <w:color w:val="auto"/>
                <w:kern w:val="2"/>
                <w:sz w:val="20"/>
              </w:rPr>
              <w:t>LT-</w:t>
            </w:r>
            <w:r w:rsidRPr="001D42A9">
              <w:rPr>
                <w:rFonts w:eastAsia="Calibri"/>
                <w:color w:val="auto"/>
                <w:kern w:val="2"/>
                <w:sz w:val="20"/>
              </w:rPr>
              <w:t>04208 Vilniaus m. sav.</w:t>
            </w:r>
          </w:p>
        </w:tc>
      </w:tr>
    </w:tbl>
    <w:p w14:paraId="01C3E9E9" w14:textId="3E86E032" w:rsidR="0092339A" w:rsidRPr="001D42A9" w:rsidRDefault="0092339A" w:rsidP="0092339A">
      <w:pPr>
        <w:tabs>
          <w:tab w:val="left" w:pos="426"/>
        </w:tabs>
        <w:contextualSpacing/>
        <w:jc w:val="both"/>
        <w:rPr>
          <w:rFonts w:eastAsia="Calibri"/>
          <w:color w:val="FF0000"/>
          <w:kern w:val="2"/>
          <w:szCs w:val="24"/>
        </w:rPr>
      </w:pPr>
      <w:r w:rsidRPr="001D42A9">
        <w:rPr>
          <w:rFonts w:eastAsia="Calibri"/>
          <w:color w:val="auto"/>
          <w:kern w:val="2"/>
          <w:szCs w:val="24"/>
        </w:rPr>
        <w:t>3.4. T</w:t>
      </w:r>
      <w:r w:rsidR="00C72C22">
        <w:rPr>
          <w:rFonts w:eastAsia="Calibri"/>
          <w:color w:val="auto"/>
          <w:kern w:val="2"/>
          <w:szCs w:val="24"/>
        </w:rPr>
        <w:t>ei</w:t>
      </w:r>
      <w:bookmarkStart w:id="6" w:name="_GoBack"/>
      <w:bookmarkEnd w:id="6"/>
      <w:r w:rsidRPr="001D42A9">
        <w:rPr>
          <w:rFonts w:eastAsia="Calibri"/>
          <w:color w:val="auto"/>
          <w:kern w:val="2"/>
          <w:szCs w:val="24"/>
        </w:rPr>
        <w:t xml:space="preserve">kėjo pasiūlyta mokymų programa pedagoginiams darbuotojams turi būti akredituota teisės aktų nustatyta tvarka (LR švietimo įstatymo 23 str. 6 p.). </w:t>
      </w:r>
      <w:r w:rsidRPr="001D42A9">
        <w:rPr>
          <w:rFonts w:eastAsia="Calibri"/>
          <w:szCs w:val="24"/>
        </w:rPr>
        <w:t>Akredituota mokymų programa ir ją  pagrindžiantys dokumentai turi būti pateikti ne vėliau kaip per 10 (dešimt) darbo dienų po Sutarties pasirašymo.</w:t>
      </w:r>
    </w:p>
    <w:p w14:paraId="53F15075" w14:textId="77777777" w:rsidR="0092339A" w:rsidRPr="001D42A9" w:rsidRDefault="0092339A" w:rsidP="0092339A">
      <w:pPr>
        <w:tabs>
          <w:tab w:val="left" w:pos="567"/>
        </w:tabs>
        <w:jc w:val="both"/>
        <w:rPr>
          <w:rFonts w:eastAsia="Calibri"/>
          <w:color w:val="auto"/>
          <w:kern w:val="2"/>
          <w:szCs w:val="24"/>
        </w:rPr>
      </w:pPr>
      <w:r w:rsidRPr="001D42A9">
        <w:rPr>
          <w:rFonts w:eastAsia="Calibri"/>
          <w:color w:val="auto"/>
          <w:kern w:val="2"/>
          <w:szCs w:val="24"/>
        </w:rPr>
        <w:t>3.5. Akredituota Mokymų programa turi apimti ne mažiau 40 ak. val.</w:t>
      </w:r>
    </w:p>
    <w:p w14:paraId="6BA876EA" w14:textId="77777777" w:rsidR="0092339A" w:rsidRPr="001D42A9" w:rsidRDefault="0092339A" w:rsidP="0092339A">
      <w:pPr>
        <w:tabs>
          <w:tab w:val="left" w:pos="567"/>
        </w:tabs>
        <w:jc w:val="both"/>
        <w:rPr>
          <w:rFonts w:eastAsia="Calibri"/>
          <w:color w:val="auto"/>
          <w:kern w:val="2"/>
          <w:szCs w:val="24"/>
        </w:rPr>
      </w:pPr>
      <w:r w:rsidRPr="001D42A9">
        <w:rPr>
          <w:rFonts w:eastAsia="Calibri"/>
          <w:color w:val="auto"/>
          <w:kern w:val="2"/>
          <w:szCs w:val="24"/>
        </w:rPr>
        <w:t xml:space="preserve">3.6. Mokymai turi suteikti dalyviams strateginio mąstymo ir pokyčių valdymo, strateginio švietimo įstaigos valdymo kompetencijas, numatytas Lietuvos Respublikos švietimo ir mokslo ministro patvirtintame 2011-07-01 Nr. V-1194 </w:t>
      </w:r>
      <w:proofErr w:type="spellStart"/>
      <w:r w:rsidRPr="001D42A9">
        <w:rPr>
          <w:rFonts w:eastAsia="Calibri"/>
          <w:color w:val="auto"/>
          <w:kern w:val="2"/>
          <w:szCs w:val="24"/>
        </w:rPr>
        <w:t>įsak</w:t>
      </w:r>
      <w:proofErr w:type="spellEnd"/>
      <w:r w:rsidRPr="001D42A9">
        <w:rPr>
          <w:rFonts w:eastAsia="Calibri"/>
          <w:color w:val="auto"/>
          <w:kern w:val="2"/>
          <w:szCs w:val="24"/>
        </w:rPr>
        <w:t>. apraše „Dėl kvalifikacinių reikalavimų valstybinių ir savivaldybių švietimo įstaigų (išskyrus aukštąsias mokyklas) vadovams aprašo patvirtinimo“.</w:t>
      </w:r>
    </w:p>
    <w:p w14:paraId="38E6DAC1" w14:textId="77777777" w:rsidR="0092339A" w:rsidRPr="001D42A9" w:rsidRDefault="0092339A" w:rsidP="0092339A">
      <w:pPr>
        <w:pStyle w:val="Sraopastraipa"/>
        <w:numPr>
          <w:ilvl w:val="0"/>
          <w:numId w:val="1"/>
        </w:numPr>
        <w:tabs>
          <w:tab w:val="left" w:pos="284"/>
        </w:tabs>
        <w:spacing w:before="240" w:after="240" w:line="259" w:lineRule="auto"/>
        <w:contextualSpacing w:val="0"/>
        <w:jc w:val="center"/>
        <w:rPr>
          <w:rFonts w:eastAsia="Calibri"/>
          <w:b/>
          <w:bCs/>
          <w:sz w:val="24"/>
          <w:szCs w:val="24"/>
          <w:lang w:val="lt-LT"/>
        </w:rPr>
      </w:pPr>
      <w:r w:rsidRPr="001D42A9">
        <w:rPr>
          <w:rFonts w:eastAsia="Calibri"/>
          <w:b/>
          <w:bCs/>
          <w:sz w:val="24"/>
          <w:szCs w:val="24"/>
          <w:lang w:val="lt-LT"/>
        </w:rPr>
        <w:lastRenderedPageBreak/>
        <w:t>REIKALAVIMAI PASLAUGŲ TEIKIMUI</w:t>
      </w:r>
    </w:p>
    <w:p w14:paraId="0B62FFC0" w14:textId="77777777" w:rsidR="0092339A" w:rsidRPr="001D42A9" w:rsidRDefault="0092339A" w:rsidP="0092339A">
      <w:pPr>
        <w:pStyle w:val="Sraopastraipa"/>
        <w:numPr>
          <w:ilvl w:val="1"/>
          <w:numId w:val="1"/>
        </w:numPr>
        <w:tabs>
          <w:tab w:val="left" w:pos="567"/>
        </w:tabs>
        <w:spacing w:before="240" w:after="240" w:line="259" w:lineRule="auto"/>
        <w:ind w:left="0" w:firstLine="0"/>
        <w:jc w:val="both"/>
        <w:rPr>
          <w:rFonts w:eastAsia="Calibri"/>
          <w:b/>
          <w:bCs/>
          <w:sz w:val="24"/>
          <w:szCs w:val="24"/>
          <w:lang w:val="lt-LT"/>
        </w:rPr>
      </w:pPr>
      <w:r w:rsidRPr="001D42A9">
        <w:rPr>
          <w:rFonts w:eastAsia="Calibri"/>
          <w:sz w:val="24"/>
          <w:szCs w:val="24"/>
          <w:lang w:val="lt-LT"/>
        </w:rPr>
        <w:t>Mokymai turi vykti lietuvių kalba, Teikėjas privalo laikytis Bendrojo duomenų apsaugos reglamento ir dalyvių duomenis naudoti tik projekte nustatytais tikslais. Teikėjas atsako už tai, kad Mokymų programai parengti panaudota medžiaga nepažeistų trečiųjų šalių teisių ir teisėtų interesų.</w:t>
      </w:r>
    </w:p>
    <w:p w14:paraId="6FFA0FDC" w14:textId="77777777" w:rsidR="0092339A" w:rsidRPr="001D42A9" w:rsidRDefault="0092339A" w:rsidP="0092339A">
      <w:pPr>
        <w:pStyle w:val="Sraopastraipa"/>
        <w:numPr>
          <w:ilvl w:val="1"/>
          <w:numId w:val="1"/>
        </w:numPr>
        <w:tabs>
          <w:tab w:val="left" w:pos="567"/>
        </w:tabs>
        <w:spacing w:before="240" w:after="240" w:line="259" w:lineRule="auto"/>
        <w:ind w:left="0" w:firstLine="0"/>
        <w:jc w:val="both"/>
        <w:rPr>
          <w:rFonts w:eastAsia="Calibri"/>
          <w:b/>
          <w:bCs/>
          <w:sz w:val="24"/>
          <w:szCs w:val="24"/>
          <w:lang w:val="lt-LT"/>
        </w:rPr>
      </w:pPr>
      <w:r w:rsidRPr="001D42A9">
        <w:rPr>
          <w:rFonts w:eastAsia="Calibri"/>
          <w:sz w:val="24"/>
          <w:szCs w:val="24"/>
          <w:lang w:val="lt-LT"/>
        </w:rPr>
        <w:t>Teikėjas pasirašytinai, pagal Pirkėjo pateiktą formą, turi fiksuoti kiekvienos dienos mokymų dalyvių lankomumą.</w:t>
      </w:r>
    </w:p>
    <w:p w14:paraId="673F6414" w14:textId="77777777" w:rsidR="0092339A" w:rsidRPr="001D42A9" w:rsidRDefault="0092339A" w:rsidP="0092339A">
      <w:pPr>
        <w:pStyle w:val="Sraopastraipa"/>
        <w:numPr>
          <w:ilvl w:val="1"/>
          <w:numId w:val="1"/>
        </w:numPr>
        <w:tabs>
          <w:tab w:val="left" w:pos="567"/>
        </w:tabs>
        <w:spacing w:before="240" w:after="240" w:line="259" w:lineRule="auto"/>
        <w:ind w:left="0" w:firstLine="0"/>
        <w:jc w:val="both"/>
        <w:rPr>
          <w:rFonts w:eastAsia="Calibri"/>
          <w:b/>
          <w:bCs/>
          <w:sz w:val="24"/>
          <w:szCs w:val="24"/>
          <w:lang w:val="lt-LT"/>
        </w:rPr>
      </w:pPr>
      <w:r w:rsidRPr="001D42A9">
        <w:rPr>
          <w:sz w:val="24"/>
          <w:szCs w:val="24"/>
          <w:lang w:val="lt-LT"/>
        </w:rPr>
        <w:t>Teikėjas pasirašytinai, pagal Pirkėjo pateiktą formą, turi fiksuoti kiekvienos dienos mokymų dalyvių lankomumą; dėl nuotolinių susitikimų pateikiamos ekrano nuotraukos („</w:t>
      </w:r>
      <w:proofErr w:type="spellStart"/>
      <w:r w:rsidRPr="001D42A9">
        <w:rPr>
          <w:sz w:val="24"/>
          <w:szCs w:val="24"/>
          <w:lang w:val="lt-LT"/>
        </w:rPr>
        <w:t>Printscreen</w:t>
      </w:r>
      <w:proofErr w:type="spellEnd"/>
      <w:r w:rsidRPr="001D42A9">
        <w:rPr>
          <w:sz w:val="24"/>
          <w:szCs w:val="24"/>
          <w:lang w:val="lt-LT"/>
        </w:rPr>
        <w:t>“), kuriose bus matomas prisijungimo laikas, vardas, pavardė bei prisijungusiojo dalyvio atvaizdas.</w:t>
      </w:r>
    </w:p>
    <w:p w14:paraId="05EF4888" w14:textId="77777777" w:rsidR="0092339A" w:rsidRPr="001D42A9" w:rsidRDefault="0092339A" w:rsidP="0092339A">
      <w:pPr>
        <w:pStyle w:val="Sraopastraipa"/>
        <w:numPr>
          <w:ilvl w:val="1"/>
          <w:numId w:val="1"/>
        </w:numPr>
        <w:tabs>
          <w:tab w:val="left" w:pos="567"/>
        </w:tabs>
        <w:spacing w:before="240" w:after="240" w:line="259" w:lineRule="auto"/>
        <w:ind w:left="0" w:firstLine="0"/>
        <w:jc w:val="both"/>
        <w:rPr>
          <w:rFonts w:eastAsia="Calibri"/>
          <w:b/>
          <w:bCs/>
          <w:sz w:val="24"/>
          <w:szCs w:val="24"/>
          <w:lang w:val="lt-LT"/>
        </w:rPr>
      </w:pPr>
      <w:r w:rsidRPr="001D42A9">
        <w:rPr>
          <w:rFonts w:eastAsia="Calibri"/>
          <w:sz w:val="24"/>
          <w:szCs w:val="24"/>
          <w:lang w:val="lt-LT"/>
        </w:rPr>
        <w:t>Teikėjas turi išduoti Mokymų dalyviams mokymų baigimo pažymėjimus, ant kurių yra nurodyta: akreditacijos pažymos numeris, unikalus pažymėjimo numeris, mokymų temos pavadinimas, išklausytų valandų skaičius, ES viešinimo reikalavimus atitinkanti simbolika, ES finansavimo fondas, paslaugų tiekėjas, išdavimo data. Pažymėjimo turinys ir dizainas yra suderintas su Pirkėju.</w:t>
      </w:r>
    </w:p>
    <w:p w14:paraId="47BE4726" w14:textId="77777777" w:rsidR="0092339A" w:rsidRPr="001D42A9" w:rsidRDefault="0092339A" w:rsidP="0092339A">
      <w:pPr>
        <w:pStyle w:val="Sraopastraipa"/>
        <w:numPr>
          <w:ilvl w:val="1"/>
          <w:numId w:val="1"/>
        </w:numPr>
        <w:tabs>
          <w:tab w:val="left" w:pos="567"/>
        </w:tabs>
        <w:spacing w:before="240" w:after="240" w:line="259" w:lineRule="auto"/>
        <w:ind w:left="0" w:firstLine="0"/>
        <w:jc w:val="both"/>
        <w:rPr>
          <w:rFonts w:eastAsia="Calibri"/>
          <w:b/>
          <w:bCs/>
          <w:sz w:val="24"/>
          <w:szCs w:val="24"/>
          <w:lang w:val="lt-LT"/>
        </w:rPr>
      </w:pPr>
      <w:r w:rsidRPr="001D42A9">
        <w:rPr>
          <w:rFonts w:eastAsia="Calibri"/>
          <w:sz w:val="24"/>
          <w:szCs w:val="24"/>
          <w:lang w:val="lt-LT"/>
        </w:rPr>
        <w:t>Po Mokymų įgyvendinimo, Teikėjas turi kiekvienam dalyviui pateikti užpildyti grįžtamojo ryšio (refleksijos) anketą.</w:t>
      </w:r>
    </w:p>
    <w:p w14:paraId="69BC4A0E" w14:textId="77777777" w:rsidR="0092339A" w:rsidRPr="001D42A9" w:rsidRDefault="0092339A" w:rsidP="0092339A">
      <w:pPr>
        <w:pStyle w:val="Sraopastraipa"/>
        <w:numPr>
          <w:ilvl w:val="1"/>
          <w:numId w:val="1"/>
        </w:numPr>
        <w:tabs>
          <w:tab w:val="left" w:pos="567"/>
        </w:tabs>
        <w:spacing w:before="240" w:after="240" w:line="259" w:lineRule="auto"/>
        <w:ind w:left="0" w:firstLine="0"/>
        <w:jc w:val="both"/>
        <w:rPr>
          <w:rFonts w:eastAsia="Calibri"/>
          <w:b/>
          <w:bCs/>
          <w:sz w:val="24"/>
          <w:szCs w:val="24"/>
          <w:lang w:val="lt-LT"/>
        </w:rPr>
      </w:pPr>
      <w:r w:rsidRPr="001D42A9">
        <w:rPr>
          <w:rFonts w:eastAsia="Calibri"/>
          <w:sz w:val="24"/>
          <w:szCs w:val="24"/>
          <w:lang w:val="lt-LT"/>
        </w:rPr>
        <w:t>Teikėjas po įvykusių Mokymų turės pateikti:</w:t>
      </w:r>
    </w:p>
    <w:p w14:paraId="7771DF56" w14:textId="77777777" w:rsidR="0092339A" w:rsidRPr="001D42A9" w:rsidRDefault="0092339A" w:rsidP="0092339A">
      <w:pPr>
        <w:pStyle w:val="Sraopastraipa"/>
        <w:tabs>
          <w:tab w:val="left" w:pos="567"/>
        </w:tabs>
        <w:spacing w:before="240" w:after="240" w:line="259" w:lineRule="auto"/>
        <w:ind w:left="0"/>
        <w:jc w:val="both"/>
        <w:rPr>
          <w:rFonts w:eastAsia="Calibri"/>
          <w:b/>
          <w:bCs/>
          <w:sz w:val="24"/>
          <w:szCs w:val="24"/>
          <w:lang w:val="lt-LT"/>
        </w:rPr>
      </w:pPr>
      <w:r w:rsidRPr="001D42A9">
        <w:rPr>
          <w:rFonts w:eastAsia="Calibri"/>
          <w:b/>
          <w:bCs/>
          <w:sz w:val="24"/>
          <w:szCs w:val="24"/>
          <w:lang w:val="lt-LT"/>
        </w:rPr>
        <w:tab/>
      </w:r>
      <w:r w:rsidRPr="001D42A9">
        <w:rPr>
          <w:rFonts w:eastAsia="Calibri"/>
          <w:bCs/>
          <w:sz w:val="24"/>
          <w:szCs w:val="24"/>
          <w:lang w:val="lt-LT"/>
        </w:rPr>
        <w:t>4.6.1.</w:t>
      </w:r>
      <w:r w:rsidRPr="001D42A9">
        <w:rPr>
          <w:rFonts w:eastAsia="Calibri"/>
          <w:b/>
          <w:bCs/>
          <w:sz w:val="24"/>
          <w:szCs w:val="24"/>
          <w:lang w:val="lt-LT"/>
        </w:rPr>
        <w:t xml:space="preserve"> </w:t>
      </w:r>
      <w:r w:rsidRPr="001D42A9">
        <w:rPr>
          <w:rFonts w:eastAsia="Calibri"/>
          <w:sz w:val="24"/>
          <w:szCs w:val="24"/>
          <w:lang w:val="lt-LT"/>
        </w:rPr>
        <w:t>Pažymėjimų, išduotų Mokymų dalyviams, registrą, pasirašytą Teikėjo vadovo, ir šių pažymėjimų kopijas;</w:t>
      </w:r>
    </w:p>
    <w:p w14:paraId="6691E7CB" w14:textId="77777777" w:rsidR="0092339A" w:rsidRPr="001D42A9" w:rsidRDefault="0092339A" w:rsidP="0092339A">
      <w:pPr>
        <w:pStyle w:val="Sraopastraipa"/>
        <w:tabs>
          <w:tab w:val="left" w:pos="567"/>
        </w:tabs>
        <w:spacing w:before="240" w:after="240" w:line="259" w:lineRule="auto"/>
        <w:ind w:left="0"/>
        <w:jc w:val="both"/>
        <w:rPr>
          <w:rFonts w:eastAsia="Calibri"/>
          <w:b/>
          <w:bCs/>
          <w:sz w:val="24"/>
          <w:szCs w:val="24"/>
          <w:lang w:val="lt-LT"/>
        </w:rPr>
      </w:pPr>
      <w:r w:rsidRPr="001D42A9">
        <w:rPr>
          <w:rFonts w:eastAsia="Calibri"/>
          <w:b/>
          <w:bCs/>
          <w:sz w:val="24"/>
          <w:szCs w:val="24"/>
          <w:lang w:val="lt-LT"/>
        </w:rPr>
        <w:tab/>
      </w:r>
      <w:r w:rsidRPr="001D42A9">
        <w:rPr>
          <w:rFonts w:eastAsia="Calibri"/>
          <w:bCs/>
          <w:sz w:val="24"/>
          <w:szCs w:val="24"/>
          <w:lang w:val="lt-LT"/>
        </w:rPr>
        <w:t>4.6.2.</w:t>
      </w:r>
      <w:r w:rsidRPr="001D42A9">
        <w:rPr>
          <w:rFonts w:eastAsia="Calibri"/>
          <w:b/>
          <w:bCs/>
          <w:sz w:val="24"/>
          <w:szCs w:val="24"/>
          <w:lang w:val="lt-LT"/>
        </w:rPr>
        <w:t xml:space="preserve"> </w:t>
      </w:r>
      <w:r w:rsidRPr="001D42A9">
        <w:rPr>
          <w:rFonts w:eastAsia="Calibri"/>
          <w:sz w:val="24"/>
          <w:szCs w:val="24"/>
          <w:lang w:val="lt-LT"/>
        </w:rPr>
        <w:t>Užpildytas dalyvių grįžtamojo ryšio anketas ir laisva forma pateiktą apibendrintą grįžtamojo ryšio anketų aprašymą, įtraukiant šiuos aspektus: mokymų tikslai ir jų pasiekimas, pagrindines kompetencijas, kurias buvo siekiama tobulinti, ir kaip dalyviai vertina šių kompetencijų patobulinimą, kas dalyviams buvo naudingiausia, konstruktyvi kritika ar pasiūlymai ateičiai (jei tokių buvo), kaip dalyviai planuoja pritaikyti įgytas žinias praktikoje, bei bendras dalyvių pasitenkinimo lygis;</w:t>
      </w:r>
    </w:p>
    <w:p w14:paraId="067632D6" w14:textId="77777777" w:rsidR="0092339A" w:rsidRPr="001D42A9" w:rsidRDefault="0092339A" w:rsidP="0092339A">
      <w:pPr>
        <w:pStyle w:val="Sraopastraipa"/>
        <w:tabs>
          <w:tab w:val="left" w:pos="567"/>
        </w:tabs>
        <w:spacing w:before="240" w:after="240" w:line="259" w:lineRule="auto"/>
        <w:ind w:left="0"/>
        <w:jc w:val="both"/>
        <w:rPr>
          <w:rFonts w:eastAsia="Calibri"/>
          <w:b/>
          <w:bCs/>
          <w:sz w:val="24"/>
          <w:szCs w:val="24"/>
          <w:lang w:val="lt-LT"/>
        </w:rPr>
      </w:pPr>
      <w:r w:rsidRPr="001D42A9">
        <w:rPr>
          <w:rFonts w:eastAsia="Calibri"/>
          <w:b/>
          <w:bCs/>
          <w:sz w:val="24"/>
          <w:szCs w:val="24"/>
          <w:lang w:val="lt-LT"/>
        </w:rPr>
        <w:tab/>
      </w:r>
      <w:r w:rsidRPr="001D42A9">
        <w:rPr>
          <w:rFonts w:eastAsia="Calibri"/>
          <w:bCs/>
          <w:sz w:val="24"/>
          <w:szCs w:val="24"/>
          <w:lang w:val="lt-LT"/>
        </w:rPr>
        <w:t>4.6.3.</w:t>
      </w:r>
      <w:r w:rsidRPr="001D42A9">
        <w:rPr>
          <w:rFonts w:eastAsia="Calibri"/>
          <w:b/>
          <w:bCs/>
          <w:sz w:val="24"/>
          <w:szCs w:val="24"/>
          <w:lang w:val="lt-LT"/>
        </w:rPr>
        <w:t xml:space="preserve"> </w:t>
      </w:r>
      <w:r w:rsidRPr="001D42A9">
        <w:rPr>
          <w:rFonts w:eastAsia="Calibri"/>
          <w:sz w:val="24"/>
          <w:szCs w:val="24"/>
          <w:lang w:val="lt-LT"/>
        </w:rPr>
        <w:t>Mokymų renginio dalyvių sąrašus su parašais, kurio formą pateikia Pirkėjas.</w:t>
      </w:r>
    </w:p>
    <w:p w14:paraId="7F88F848" w14:textId="77777777" w:rsidR="0092339A" w:rsidRPr="001D42A9" w:rsidRDefault="0092339A" w:rsidP="0092339A">
      <w:pPr>
        <w:pStyle w:val="Sraopastraipa"/>
        <w:numPr>
          <w:ilvl w:val="1"/>
          <w:numId w:val="1"/>
        </w:numPr>
        <w:tabs>
          <w:tab w:val="left" w:pos="567"/>
        </w:tabs>
        <w:spacing w:before="240" w:after="240" w:line="259" w:lineRule="auto"/>
        <w:ind w:left="0" w:firstLine="0"/>
        <w:jc w:val="both"/>
        <w:rPr>
          <w:rFonts w:eastAsia="Calibri"/>
          <w:sz w:val="24"/>
          <w:szCs w:val="24"/>
          <w:lang w:val="lt-LT"/>
        </w:rPr>
      </w:pPr>
      <w:r w:rsidRPr="001D42A9">
        <w:rPr>
          <w:rFonts w:eastAsia="Calibri"/>
          <w:sz w:val="24"/>
          <w:szCs w:val="24"/>
          <w:lang w:val="lt-LT"/>
        </w:rPr>
        <w:t>Perkamos nematerialaus pobūdžio intelektinės paslaugos, todėl, vadovaujantis Lietuvos Respublikos aplinkos ministro 2022 m. gruodžio 13 d. įsakymo Nr. D3-401 4.4.3 papunkčiu, pirkimas laikomas žaliu.</w:t>
      </w:r>
    </w:p>
    <w:p w14:paraId="44A9D95E" w14:textId="77777777" w:rsidR="0092339A" w:rsidRPr="001D42A9" w:rsidRDefault="0092339A" w:rsidP="0092339A">
      <w:pPr>
        <w:pStyle w:val="Sraopastraipa"/>
        <w:numPr>
          <w:ilvl w:val="1"/>
          <w:numId w:val="1"/>
        </w:numPr>
        <w:tabs>
          <w:tab w:val="left" w:pos="567"/>
        </w:tabs>
        <w:spacing w:before="240" w:after="240" w:line="259" w:lineRule="auto"/>
        <w:ind w:left="0" w:firstLine="0"/>
        <w:jc w:val="both"/>
        <w:rPr>
          <w:rFonts w:eastAsia="Calibri"/>
          <w:sz w:val="24"/>
          <w:szCs w:val="24"/>
          <w:lang w:val="lt-LT"/>
        </w:rPr>
      </w:pPr>
      <w:r w:rsidRPr="001D42A9">
        <w:rPr>
          <w:rFonts w:eastAsia="Calibri"/>
          <w:sz w:val="24"/>
          <w:szCs w:val="24"/>
          <w:lang w:val="lt-LT"/>
        </w:rPr>
        <w:t>Teikėjas įsipareigoja teikdamas Paslaugas laikytis šių aplinkos apsaugos reikalavimų: Sutartį pasirašyti el. būdu, atsisakyti popierinių dokumentų, reikalingą dokumentaciją rengti elektronine forma ir kitai Sutarties Šaliai pateikti tik elektroniniu formatu, dokumentus pasirašyti elektroniniu būdu, kad teikiant Paslaugas būtų neteršiama aplinka ir nekeliamas pavojus sveikatai.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B3A8DB6" w14:textId="77777777" w:rsidR="0092339A" w:rsidRPr="001D42A9" w:rsidRDefault="0092339A" w:rsidP="0092339A">
      <w:pPr>
        <w:pStyle w:val="Sraopastraipa"/>
        <w:numPr>
          <w:ilvl w:val="1"/>
          <w:numId w:val="1"/>
        </w:numPr>
        <w:tabs>
          <w:tab w:val="left" w:pos="567"/>
        </w:tabs>
        <w:spacing w:before="240" w:after="240" w:line="259" w:lineRule="auto"/>
        <w:ind w:left="0" w:firstLine="0"/>
        <w:jc w:val="both"/>
        <w:rPr>
          <w:rFonts w:eastAsia="Calibri"/>
          <w:sz w:val="24"/>
          <w:szCs w:val="24"/>
          <w:lang w:val="lt-LT"/>
        </w:rPr>
      </w:pPr>
      <w:r w:rsidRPr="001D42A9">
        <w:rPr>
          <w:rFonts w:eastAsia="Calibri"/>
          <w:sz w:val="24"/>
          <w:szCs w:val="24"/>
          <w:lang w:val="lt-LT"/>
        </w:rPr>
        <w:t>Į mokymų programos (teorinės – praktinės ir mokomosios – pažintinės) vizito kainą turi būti įskaičiuota vizito programa; autobuso nuoma nuvykimui į vizito vietą ir parvykimui į nakvynės vietą; dalyvių apgyvendinimas ne mažiau trijų žvaigždučių viešbutis + pusryčiai; dalyvių maitinimas: keturios kavos pertraukos, pietūs: sriuba + karštas patiekalas, vakarienė: karštas patiekalas.</w:t>
      </w:r>
    </w:p>
    <w:p w14:paraId="6999331B" w14:textId="77777777" w:rsidR="001D42A9" w:rsidRDefault="001D42A9" w:rsidP="0092339A">
      <w:pPr>
        <w:pStyle w:val="Sraopastraipa"/>
        <w:tabs>
          <w:tab w:val="left" w:pos="567"/>
        </w:tabs>
        <w:spacing w:line="360" w:lineRule="auto"/>
        <w:ind w:left="0"/>
        <w:jc w:val="right"/>
        <w:rPr>
          <w:rFonts w:eastAsia="Calibri"/>
          <w:lang w:val="lt-LT"/>
        </w:rPr>
      </w:pPr>
    </w:p>
    <w:p w14:paraId="2AAB58F5" w14:textId="1C4A4DD9" w:rsidR="0092339A" w:rsidRPr="001D42A9" w:rsidRDefault="0092339A" w:rsidP="0092339A">
      <w:pPr>
        <w:pStyle w:val="Sraopastraipa"/>
        <w:tabs>
          <w:tab w:val="left" w:pos="567"/>
        </w:tabs>
        <w:spacing w:line="360" w:lineRule="auto"/>
        <w:ind w:left="0"/>
        <w:jc w:val="right"/>
        <w:rPr>
          <w:rFonts w:eastAsia="Calibri"/>
          <w:sz w:val="24"/>
          <w:szCs w:val="24"/>
          <w:lang w:val="lt-LT"/>
        </w:rPr>
      </w:pPr>
      <w:r w:rsidRPr="001D42A9">
        <w:rPr>
          <w:rFonts w:eastAsia="Calibri"/>
          <w:sz w:val="24"/>
          <w:szCs w:val="24"/>
          <w:lang w:val="lt-LT"/>
        </w:rPr>
        <w:t>Techninę specifikaciją parengė Akmenės rajono savivaldybės</w:t>
      </w:r>
    </w:p>
    <w:p w14:paraId="2ECB2526" w14:textId="77777777" w:rsidR="001D42A9" w:rsidRDefault="0092339A" w:rsidP="0092339A">
      <w:pPr>
        <w:tabs>
          <w:tab w:val="left" w:pos="567"/>
        </w:tabs>
        <w:spacing w:line="360" w:lineRule="auto"/>
        <w:jc w:val="right"/>
        <w:rPr>
          <w:rFonts w:eastAsia="Calibri"/>
          <w:szCs w:val="24"/>
        </w:rPr>
      </w:pPr>
      <w:r w:rsidRPr="001D42A9">
        <w:rPr>
          <w:rFonts w:eastAsia="Calibri"/>
          <w:szCs w:val="24"/>
        </w:rPr>
        <w:t xml:space="preserve">švietimo, kultūros ir sporto skyriaus įtraukiojo ir kultūrinio ugdymo koordinatorė </w:t>
      </w:r>
    </w:p>
    <w:p w14:paraId="7E178EC5" w14:textId="4469ED8D" w:rsidR="0092339A" w:rsidRPr="001D42A9" w:rsidRDefault="0092339A" w:rsidP="0092339A">
      <w:pPr>
        <w:tabs>
          <w:tab w:val="left" w:pos="567"/>
        </w:tabs>
        <w:spacing w:line="360" w:lineRule="auto"/>
        <w:jc w:val="right"/>
        <w:rPr>
          <w:rFonts w:eastAsia="Calibri"/>
          <w:szCs w:val="24"/>
        </w:rPr>
      </w:pPr>
      <w:r w:rsidRPr="001D42A9">
        <w:rPr>
          <w:rFonts w:eastAsia="Calibri"/>
          <w:szCs w:val="24"/>
        </w:rPr>
        <w:t>Ligita Narutavičienė</w:t>
      </w:r>
    </w:p>
    <w:sectPr w:rsidR="0092339A" w:rsidRPr="001D42A9" w:rsidSect="009233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E682A"/>
    <w:multiLevelType w:val="hybridMultilevel"/>
    <w:tmpl w:val="A36862B8"/>
    <w:lvl w:ilvl="0" w:tplc="7A7EBF2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AD6C0B"/>
    <w:multiLevelType w:val="multilevel"/>
    <w:tmpl w:val="B1D0E6E8"/>
    <w:lvl w:ilvl="0">
      <w:start w:val="1"/>
      <w:numFmt w:val="upperRoman"/>
      <w:lvlText w:val="%1."/>
      <w:lvlJc w:val="right"/>
      <w:pPr>
        <w:ind w:left="1287" w:hanging="360"/>
      </w:pPr>
      <w:rPr>
        <w:rFonts w:ascii="Times New Roman" w:eastAsia="Calibri" w:hAnsi="Times New Roman" w:cs="Times New Roman"/>
        <w:b/>
        <w:bCs/>
      </w:rPr>
    </w:lvl>
    <w:lvl w:ilvl="1">
      <w:start w:val="1"/>
      <w:numFmt w:val="decimal"/>
      <w:isLgl/>
      <w:lvlText w:val="%1.%2."/>
      <w:lvlJc w:val="left"/>
      <w:pPr>
        <w:ind w:left="1353" w:hanging="360"/>
      </w:pPr>
      <w:rPr>
        <w:rFonts w:hint="default"/>
        <w:b w:val="0"/>
        <w:bCs w:val="0"/>
        <w:i w:val="0"/>
        <w:iCs w:val="0"/>
        <w:color w:val="auto"/>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8D"/>
    <w:rsid w:val="00084A71"/>
    <w:rsid w:val="000E66C7"/>
    <w:rsid w:val="001D42A9"/>
    <w:rsid w:val="00383BC5"/>
    <w:rsid w:val="004F488D"/>
    <w:rsid w:val="007C46CB"/>
    <w:rsid w:val="0092339A"/>
    <w:rsid w:val="00B26BDA"/>
    <w:rsid w:val="00BC2EFA"/>
    <w:rsid w:val="00C0181E"/>
    <w:rsid w:val="00C5644B"/>
    <w:rsid w:val="00C72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D1D4"/>
  <w15:chartTrackingRefBased/>
  <w15:docId w15:val="{7F8F1380-CB01-4FCE-8700-8848F938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339A"/>
    <w:pPr>
      <w:spacing w:after="0" w:line="240" w:lineRule="auto"/>
    </w:pPr>
    <w:rPr>
      <w:rFonts w:ascii="Times New Roman" w:eastAsia="Times New Roman" w:hAnsi="Times New Roman" w:cs="Times New Roman"/>
      <w:color w:val="000000"/>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92339A"/>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2339A"/>
    <w:pPr>
      <w:ind w:left="720"/>
      <w:contextualSpacing/>
    </w:pPr>
    <w:rPr>
      <w:color w:val="auto"/>
      <w:kern w:val="2"/>
      <w:sz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6110</Words>
  <Characters>3483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L.Narutaviciene</dc:creator>
  <cp:keywords/>
  <dc:description/>
  <cp:lastModifiedBy>V.Lapsyte</cp:lastModifiedBy>
  <cp:revision>3</cp:revision>
  <dcterms:created xsi:type="dcterms:W3CDTF">2024-10-31T07:14:00Z</dcterms:created>
  <dcterms:modified xsi:type="dcterms:W3CDTF">2024-10-31T07:15:00Z</dcterms:modified>
</cp:coreProperties>
</file>