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9D50" w14:textId="0EB738CA" w:rsidR="00A61436" w:rsidRDefault="00AC5359" w:rsidP="0087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535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(PU-13135/24) Signaliniai stulpeliai (B grupės)</w:t>
      </w:r>
    </w:p>
    <w:p w14:paraId="69CB8E08" w14:textId="77777777" w:rsidR="00AC5359" w:rsidRPr="00F97647" w:rsidRDefault="00AC5359" w:rsidP="008750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9C8545" w14:textId="7968702A" w:rsidR="00823324" w:rsidRPr="00027179" w:rsidRDefault="00383E0E" w:rsidP="00A113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7179">
        <w:rPr>
          <w:rFonts w:ascii="Times New Roman" w:hAnsi="Times New Roman" w:cs="Times New Roman"/>
        </w:rPr>
        <w:t>A</w:t>
      </w:r>
      <w:r w:rsidR="00C5609A" w:rsidRPr="00027179">
        <w:rPr>
          <w:rFonts w:ascii="Times New Roman" w:hAnsi="Times New Roman" w:cs="Times New Roman"/>
        </w:rPr>
        <w:t>tsakym</w:t>
      </w:r>
      <w:r w:rsidRPr="00027179">
        <w:rPr>
          <w:rFonts w:ascii="Times New Roman" w:hAnsi="Times New Roman" w:cs="Times New Roman"/>
        </w:rPr>
        <w:t>a</w:t>
      </w:r>
      <w:r w:rsidR="007C52F7" w:rsidRPr="00027179">
        <w:rPr>
          <w:rFonts w:ascii="Times New Roman" w:hAnsi="Times New Roman" w:cs="Times New Roman"/>
        </w:rPr>
        <w:t>i</w:t>
      </w:r>
      <w:r w:rsidR="00C5609A" w:rsidRPr="00027179">
        <w:rPr>
          <w:rFonts w:ascii="Times New Roman" w:hAnsi="Times New Roman" w:cs="Times New Roman"/>
        </w:rPr>
        <w:t xml:space="preserve"> į tiekėj</w:t>
      </w:r>
      <w:r w:rsidR="005A0377" w:rsidRPr="00027179">
        <w:rPr>
          <w:rFonts w:ascii="Times New Roman" w:hAnsi="Times New Roman" w:cs="Times New Roman"/>
        </w:rPr>
        <w:t>o</w:t>
      </w:r>
      <w:r w:rsidR="00C5609A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>prašym</w:t>
      </w:r>
      <w:r w:rsidR="007C52F7" w:rsidRPr="00027179">
        <w:rPr>
          <w:rFonts w:ascii="Times New Roman" w:hAnsi="Times New Roman" w:cs="Times New Roman"/>
        </w:rPr>
        <w:t>us (pastebėjimus)</w:t>
      </w:r>
      <w:r w:rsidR="00C5609A" w:rsidRPr="00027179">
        <w:rPr>
          <w:rFonts w:ascii="Times New Roman" w:hAnsi="Times New Roman" w:cs="Times New Roman"/>
        </w:rPr>
        <w:t xml:space="preserve"> dėl</w:t>
      </w:r>
      <w:r w:rsidR="00953CA3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 xml:space="preserve">paskelbto </w:t>
      </w:r>
      <w:r w:rsidR="008C0295">
        <w:rPr>
          <w:rFonts w:ascii="Times New Roman" w:hAnsi="Times New Roman" w:cs="Times New Roman"/>
        </w:rPr>
        <w:t>techninių specifikacijų projekto</w:t>
      </w:r>
      <w:r w:rsidR="004C075B">
        <w:rPr>
          <w:rFonts w:ascii="Times New Roman" w:hAnsi="Times New Roman" w:cs="Times New Roman"/>
        </w:rPr>
        <w:t xml:space="preserve"> ir su paklausimais susijusios techninių reikalavimų korekcijos.</w:t>
      </w:r>
    </w:p>
    <w:p w14:paraId="149B90D5" w14:textId="77777777" w:rsidR="00381F11" w:rsidRPr="00027179" w:rsidRDefault="00381F11" w:rsidP="008750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3F7FB7" w:rsidRPr="00511EF9" w14:paraId="6819C911" w14:textId="77777777" w:rsidTr="00EC665D">
        <w:tc>
          <w:tcPr>
            <w:tcW w:w="5245" w:type="dxa"/>
          </w:tcPr>
          <w:p w14:paraId="59A0DD9F" w14:textId="6DF0D7B9" w:rsidR="00C5609A" w:rsidRPr="00511EF9" w:rsidRDefault="00C5609A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</w:t>
            </w:r>
          </w:p>
          <w:p w14:paraId="63850742" w14:textId="1FDB9D2E" w:rsidR="00C5609A" w:rsidRPr="00511EF9" w:rsidRDefault="00C5609A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(kalba netaisyta)</w:t>
            </w:r>
          </w:p>
        </w:tc>
        <w:tc>
          <w:tcPr>
            <w:tcW w:w="4394" w:type="dxa"/>
          </w:tcPr>
          <w:p w14:paraId="01745CD3" w14:textId="69654ABB" w:rsidR="00C5609A" w:rsidRPr="00511EF9" w:rsidRDefault="00C5609A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Perkančiosios organizacijos </w:t>
            </w:r>
            <w:r w:rsidR="009C5A15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(toliau PO) </w:t>
            </w:r>
            <w:r w:rsidR="00104B50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atsakymas, komentaras, informacija apie </w:t>
            </w:r>
            <w:r w:rsidR="00A420B6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priimt</w:t>
            </w:r>
            <w:r w:rsidR="00104B50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="00A420B6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s </w:t>
            </w:r>
            <w:r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sprendim</w:t>
            </w:r>
            <w:r w:rsidR="00104B50"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Pr="00511EF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</w:t>
            </w:r>
          </w:p>
        </w:tc>
      </w:tr>
      <w:tr w:rsidR="00946935" w:rsidRPr="00511EF9" w14:paraId="4F545D43" w14:textId="77777777" w:rsidTr="00EC665D">
        <w:tc>
          <w:tcPr>
            <w:tcW w:w="5245" w:type="dxa"/>
          </w:tcPr>
          <w:p w14:paraId="1E4B5C98" w14:textId="4E940E52" w:rsidR="00C0331A" w:rsidRPr="00511EF9" w:rsidRDefault="00AC5359" w:rsidP="00A61436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Poveržlės gaminio tvirtinimo elementams nėra būtinos, jei varžtas yra iš karto su praplatėjimu atstojančiu poveržlę</w:t>
            </w:r>
          </w:p>
        </w:tc>
        <w:tc>
          <w:tcPr>
            <w:tcW w:w="4394" w:type="dxa"/>
            <w:vAlign w:val="center"/>
          </w:tcPr>
          <w:p w14:paraId="4C2C01F8" w14:textId="3977622A" w:rsidR="00F418B3" w:rsidRPr="00195538" w:rsidRDefault="00AC5359" w:rsidP="00C0331A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C5359">
              <w:rPr>
                <w:rFonts w:ascii="Times New Roman" w:eastAsia="Calibri" w:hAnsi="Times New Roman" w:cs="Times New Roman"/>
                <w:lang w:eastAsia="zh-CN"/>
              </w:rPr>
              <w:t>Atsižvelgiant į Tiekėjo atsakymą/komentarą, bus pakoreguota pirkimo Techninė specifikacija.</w:t>
            </w:r>
          </w:p>
        </w:tc>
      </w:tr>
      <w:tr w:rsidR="00C0331A" w:rsidRPr="00511EF9" w14:paraId="6215A5BF" w14:textId="77777777" w:rsidTr="00EC665D">
        <w:tc>
          <w:tcPr>
            <w:tcW w:w="5245" w:type="dxa"/>
          </w:tcPr>
          <w:p w14:paraId="1325971B" w14:textId="0140833A" w:rsidR="00AC5359" w:rsidRPr="00AC5359" w:rsidRDefault="00AC5359" w:rsidP="00AC5359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Kadangi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techninėje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specifikacijoje (Technin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s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specifikacijos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priedas)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aiškiai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nurodoma, kad B grup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 stulpeliai turi atitikti LST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EN 12899-3 standarte nustatytus reikalavimus, tai turi b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 pareikalauta tinkamo B grup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 signaliniai stulpeli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paženklinimo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. Tokio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ženklinimo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privalomumas yra nustatytas Lietuvos</w:t>
            </w:r>
          </w:p>
          <w:p w14:paraId="2422A4DA" w14:textId="17E20A5C" w:rsidR="00AC5359" w:rsidRPr="00AC5359" w:rsidRDefault="00AC5359" w:rsidP="00AC5359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standarto LST EN 12899-3:2008 priedo ZA.3 punkte ,,CE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žymėjimas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ženklinimo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etiket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s" (23 ps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l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.), kur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parašyta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, jog ant produkto turi b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ti:</w:t>
            </w:r>
          </w:p>
          <w:p w14:paraId="601B01F4" w14:textId="77777777" w:rsidR="00AC5359" w:rsidRPr="00AC5359" w:rsidRDefault="00AC5359" w:rsidP="00AC5359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ab/>
              <w:t>CE simbolis</w:t>
            </w:r>
          </w:p>
          <w:p w14:paraId="0726E7C7" w14:textId="7CF4EDFD" w:rsidR="00AC5359" w:rsidRPr="00AC5359" w:rsidRDefault="00AC5359" w:rsidP="00AC5359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ab/>
              <w:t xml:space="preserve">Gamintojo pavadinimas arba identifikacijos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ženklas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(logotipas)</w:t>
            </w:r>
          </w:p>
          <w:p w14:paraId="7A96739D" w14:textId="4A040A5A" w:rsidR="00AC5359" w:rsidRPr="00AC5359" w:rsidRDefault="00AC5359" w:rsidP="00AC5359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ab/>
              <w:t>EN standartas, pagal kur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gaminys yra sertifikuotas</w:t>
            </w:r>
          </w:p>
          <w:p w14:paraId="48BAC372" w14:textId="7A55F36B" w:rsidR="00A34EA5" w:rsidRPr="00EC665D" w:rsidRDefault="00AC5359" w:rsidP="009D6865">
            <w:pPr>
              <w:pStyle w:val="Sraopastraipa"/>
              <w:tabs>
                <w:tab w:val="left" w:pos="270"/>
              </w:tabs>
              <w:ind w:left="3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Tokie patys reikalavimai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viešuosiuose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pirkimo konkursuose yra taikomi A grup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 stulpeliams, kurie sertifikuojami pagal t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pat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LST EN 12899-3:2008, turi atitikti TRAT SST 14 reikalavimus,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todėl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neturi b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 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im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č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ar</w:t>
            </w:r>
            <w: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skirtini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s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lyg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ir B grup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 stu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l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peliams.</w:t>
            </w:r>
          </w:p>
        </w:tc>
        <w:tc>
          <w:tcPr>
            <w:tcW w:w="4394" w:type="dxa"/>
            <w:vAlign w:val="center"/>
          </w:tcPr>
          <w:p w14:paraId="3FE8D3E4" w14:textId="6BC449DB" w:rsidR="00C0331A" w:rsidRPr="004B1E41" w:rsidRDefault="009D6865" w:rsidP="00C0331A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865">
              <w:rPr>
                <w:rFonts w:ascii="Times New Roman" w:eastAsia="Calibri" w:hAnsi="Times New Roman" w:cs="Times New Roman"/>
                <w:lang w:eastAsia="zh-CN"/>
              </w:rPr>
              <w:t>Atsižvelgiant į Tiekėjo pastabą/komentarą, bus pakoreguota Techninė specifikacija.</w:t>
            </w:r>
          </w:p>
        </w:tc>
      </w:tr>
      <w:tr w:rsidR="00C0331A" w:rsidRPr="00511EF9" w14:paraId="33B5A47D" w14:textId="77777777" w:rsidTr="00EC665D">
        <w:tc>
          <w:tcPr>
            <w:tcW w:w="5245" w:type="dxa"/>
          </w:tcPr>
          <w:p w14:paraId="52DBBCE9" w14:textId="44379884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Pirmojo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užsakymo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tiekimo terminas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galėt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b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ti net kelis kartus ilgesnis, nes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tiekėjas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neb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tinai gali tur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 reikiam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</w:p>
          <w:p w14:paraId="2C1B6E13" w14:textId="02E31C51" w:rsidR="00C0331A" w:rsidRPr="00A61436" w:rsidRDefault="00AC5359" w:rsidP="00B7389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kiek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gamini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Tiekėjas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galimai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didesn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atsarg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kiek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galėt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pradėti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kaupti tik po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viešojo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pirkimo konkurso rezultat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paskelbimo. Atkreipiant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dėmes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reik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tų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atsižvelgti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, kad tokie gam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niai gaminami ne m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ūsų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alyje, ne </w:t>
            </w:r>
            <w:r w:rsidR="009D6865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alyje </w:t>
            </w:r>
            <w:r w:rsidR="009D6865" w:rsidRPr="00AC5359">
              <w:rPr>
                <w:rFonts w:ascii="Times New Roman" w:eastAsia="Times New Roman" w:hAnsi="Times New Roman" w:cs="Times New Roman"/>
                <w:lang w:eastAsia="lt-LT"/>
              </w:rPr>
              <w:t>kaimynėje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, bet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net ne Europos S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jungoje.</w:t>
            </w:r>
          </w:p>
        </w:tc>
        <w:tc>
          <w:tcPr>
            <w:tcW w:w="4394" w:type="dxa"/>
            <w:vAlign w:val="center"/>
          </w:tcPr>
          <w:p w14:paraId="335A8BE5" w14:textId="1D444DEF" w:rsidR="00C0331A" w:rsidRPr="004B1E41" w:rsidRDefault="00B7389B" w:rsidP="00C0331A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B7389B">
              <w:rPr>
                <w:rFonts w:ascii="Times New Roman" w:eastAsia="Calibri" w:hAnsi="Times New Roman" w:cs="Times New Roman"/>
                <w:lang w:eastAsia="zh-CN"/>
              </w:rPr>
              <w:t>Perkančioji organizacija į Tiekėjo atsakymą/komentarą neatsižvelgs,  prekių pristatymo terminas nebus koreguojamas.</w:t>
            </w:r>
          </w:p>
        </w:tc>
      </w:tr>
      <w:tr w:rsidR="00AC5359" w:rsidRPr="00511EF9" w14:paraId="5F0E9EDD" w14:textId="77777777" w:rsidTr="00EC665D">
        <w:tc>
          <w:tcPr>
            <w:tcW w:w="5245" w:type="dxa"/>
          </w:tcPr>
          <w:p w14:paraId="2A0F7B57" w14:textId="349F82A8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Aplinkosauginiai reikalavimai, nurodyti technin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s specifikacijos 4 punkte pakankami. Galb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ū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  <w:p w14:paraId="020EA988" w14:textId="1E601AFF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galima bu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tų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praplėsti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4.7 punkt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išreiškiant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atitiktį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bent vienu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iš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kit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produkto gyvavimo ciklo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etap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kriterij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:</w:t>
            </w:r>
          </w:p>
          <w:p w14:paraId="078A850D" w14:textId="5A253D17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4.7.l. prekei pagaminti ir (ar) tiekti, paslaugai teikti ar darbams atlikti sunaudojama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mažiau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gamtos 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tekli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ir (ar)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sudėtyje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yra pakartotinai panaudot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ir (ar) perdirb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tų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med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ž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iag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681EF181" w14:textId="3CDD638F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4.7.2. prekei pagaminti, tiekti ir (ar) naudoti, paslaugai teikti ar darbams atlikti sunaudojama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mažiau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elektros energijos ir (ar) naudojama energija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iš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atsinaujinan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č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energijos 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tekli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72485BAC" w14:textId="294E9BC4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4.7.3. prekei pagaminti, paslaugai teikti ar darbams atlikti naudojama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mažiau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ar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nenaudojama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pavojingųjų</w:t>
            </w:r>
            <w: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chemini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med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ž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iag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neteršiama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aplinka ir nekeliamas pavojus sveikatai;</w:t>
            </w:r>
          </w:p>
          <w:p w14:paraId="5CF1D589" w14:textId="3AD74B4C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4.7.4. prek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yra tvirta,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ilgaamžė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, funkcionali, ji ar jos sudedamosios dalys tinka naudoti daug kart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ir (ar) lengvai pataisomos, ir (ar)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pakeičiamos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4499D2F1" w14:textId="0D233C36" w:rsidR="00AC5359" w:rsidRPr="00AC5359" w:rsidRDefault="00AC5359" w:rsidP="00AC5359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4.7.5. prek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ė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, virtusi atliekomis, tinka paruo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ti pakartotinai naudoti ar perdirbti;</w:t>
            </w:r>
          </w:p>
          <w:p w14:paraId="0B38A403" w14:textId="13ABF438" w:rsidR="00AC5359" w:rsidRPr="00AC5359" w:rsidRDefault="00AC5359" w:rsidP="00B7389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kurie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paminėti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Lietuvos Respublikos aplinkos ministro 2011 m.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birželio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 xml:space="preserve"> 28 d. </w:t>
            </w:r>
            <w:r w:rsidR="00B7389B" w:rsidRPr="00AC5359">
              <w:rPr>
                <w:rFonts w:ascii="Times New Roman" w:eastAsia="Times New Roman" w:hAnsi="Times New Roman" w:cs="Times New Roman"/>
                <w:lang w:eastAsia="lt-LT"/>
              </w:rPr>
              <w:t>įsakyme</w:t>
            </w:r>
            <w:r w:rsidR="00B7389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5359">
              <w:rPr>
                <w:rFonts w:ascii="Times New Roman" w:eastAsia="Times New Roman" w:hAnsi="Times New Roman" w:cs="Times New Roman"/>
                <w:lang w:eastAsia="lt-LT"/>
              </w:rPr>
              <w:t>Nr. D1-508</w:t>
            </w:r>
          </w:p>
        </w:tc>
        <w:tc>
          <w:tcPr>
            <w:tcW w:w="4394" w:type="dxa"/>
            <w:vAlign w:val="center"/>
          </w:tcPr>
          <w:p w14:paraId="16F8BA45" w14:textId="6FD716EC" w:rsidR="00AC5359" w:rsidRDefault="00B7389B" w:rsidP="00C0331A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B7389B">
              <w:rPr>
                <w:rFonts w:ascii="Times New Roman" w:eastAsia="Calibri" w:hAnsi="Times New Roman" w:cs="Times New Roman"/>
                <w:lang w:eastAsia="zh-CN"/>
              </w:rPr>
              <w:lastRenderedPageBreak/>
              <w:t>Perkančioji organizacija į Tiekėjo atsakymą/komentarą neatsižvelgs,  aplinkosauginiai kriterijai, nurodyti techninėje specifikacijoje, nebus koreguojami.</w:t>
            </w:r>
          </w:p>
        </w:tc>
      </w:tr>
    </w:tbl>
    <w:p w14:paraId="52B818E5" w14:textId="77777777" w:rsidR="0087504E" w:rsidRPr="00027179" w:rsidRDefault="0087504E">
      <w:pPr>
        <w:spacing w:after="0" w:line="240" w:lineRule="auto"/>
        <w:rPr>
          <w:rFonts w:ascii="Times New Roman" w:hAnsi="Times New Roman" w:cs="Times New Roman"/>
        </w:rPr>
      </w:pPr>
    </w:p>
    <w:sectPr w:rsidR="0087504E" w:rsidRPr="00027179" w:rsidSect="003E53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0BF"/>
    <w:multiLevelType w:val="hybridMultilevel"/>
    <w:tmpl w:val="BEC89A40"/>
    <w:lvl w:ilvl="0" w:tplc="FC9212CC">
      <w:start w:val="2"/>
      <w:numFmt w:val="decimal"/>
      <w:lvlText w:val="%1"/>
      <w:lvlJc w:val="left"/>
      <w:pPr>
        <w:ind w:left="70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29" w:hanging="360"/>
      </w:pPr>
    </w:lvl>
    <w:lvl w:ilvl="2" w:tplc="0427001B" w:tentative="1">
      <w:start w:val="1"/>
      <w:numFmt w:val="lowerRoman"/>
      <w:lvlText w:val="%3."/>
      <w:lvlJc w:val="right"/>
      <w:pPr>
        <w:ind w:left="2149" w:hanging="180"/>
      </w:pPr>
    </w:lvl>
    <w:lvl w:ilvl="3" w:tplc="0427000F" w:tentative="1">
      <w:start w:val="1"/>
      <w:numFmt w:val="decimal"/>
      <w:lvlText w:val="%4."/>
      <w:lvlJc w:val="left"/>
      <w:pPr>
        <w:ind w:left="2869" w:hanging="360"/>
      </w:pPr>
    </w:lvl>
    <w:lvl w:ilvl="4" w:tplc="04270019" w:tentative="1">
      <w:start w:val="1"/>
      <w:numFmt w:val="lowerLetter"/>
      <w:lvlText w:val="%5."/>
      <w:lvlJc w:val="left"/>
      <w:pPr>
        <w:ind w:left="3589" w:hanging="360"/>
      </w:pPr>
    </w:lvl>
    <w:lvl w:ilvl="5" w:tplc="0427001B" w:tentative="1">
      <w:start w:val="1"/>
      <w:numFmt w:val="lowerRoman"/>
      <w:lvlText w:val="%6."/>
      <w:lvlJc w:val="right"/>
      <w:pPr>
        <w:ind w:left="4309" w:hanging="180"/>
      </w:pPr>
    </w:lvl>
    <w:lvl w:ilvl="6" w:tplc="0427000F" w:tentative="1">
      <w:start w:val="1"/>
      <w:numFmt w:val="decimal"/>
      <w:lvlText w:val="%7."/>
      <w:lvlJc w:val="left"/>
      <w:pPr>
        <w:ind w:left="5029" w:hanging="360"/>
      </w:pPr>
    </w:lvl>
    <w:lvl w:ilvl="7" w:tplc="04270019" w:tentative="1">
      <w:start w:val="1"/>
      <w:numFmt w:val="lowerLetter"/>
      <w:lvlText w:val="%8."/>
      <w:lvlJc w:val="left"/>
      <w:pPr>
        <w:ind w:left="5749" w:hanging="360"/>
      </w:pPr>
    </w:lvl>
    <w:lvl w:ilvl="8" w:tplc="042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5216322"/>
    <w:multiLevelType w:val="hybridMultilevel"/>
    <w:tmpl w:val="7B3AC8F6"/>
    <w:lvl w:ilvl="0" w:tplc="BFB889B6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261C"/>
    <w:multiLevelType w:val="hybridMultilevel"/>
    <w:tmpl w:val="E7B6E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0CAA"/>
    <w:multiLevelType w:val="hybridMultilevel"/>
    <w:tmpl w:val="367A68C2"/>
    <w:lvl w:ilvl="0" w:tplc="94D66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5F45"/>
    <w:multiLevelType w:val="hybridMultilevel"/>
    <w:tmpl w:val="F418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65E99"/>
    <w:multiLevelType w:val="hybridMultilevel"/>
    <w:tmpl w:val="34F02EE4"/>
    <w:lvl w:ilvl="0" w:tplc="714A961E">
      <w:start w:val="4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86CB6"/>
    <w:multiLevelType w:val="hybridMultilevel"/>
    <w:tmpl w:val="F31AC828"/>
    <w:lvl w:ilvl="0" w:tplc="911C7C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8D06663"/>
    <w:multiLevelType w:val="hybridMultilevel"/>
    <w:tmpl w:val="3E1C483C"/>
    <w:lvl w:ilvl="0" w:tplc="7EB8C1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2ED7782"/>
    <w:multiLevelType w:val="hybridMultilevel"/>
    <w:tmpl w:val="DDB28166"/>
    <w:lvl w:ilvl="0" w:tplc="F1A84C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7421C2A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A7D61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07CB"/>
    <w:multiLevelType w:val="hybridMultilevel"/>
    <w:tmpl w:val="E062A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2494C"/>
    <w:multiLevelType w:val="hybridMultilevel"/>
    <w:tmpl w:val="136463F0"/>
    <w:lvl w:ilvl="0" w:tplc="7896AA56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20219"/>
    <w:multiLevelType w:val="multilevel"/>
    <w:tmpl w:val="2C0AFF26"/>
    <w:lvl w:ilvl="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D17C55"/>
    <w:multiLevelType w:val="hybridMultilevel"/>
    <w:tmpl w:val="953EE77A"/>
    <w:lvl w:ilvl="0" w:tplc="4AD68A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531A4841"/>
    <w:multiLevelType w:val="multilevel"/>
    <w:tmpl w:val="8C8C4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7B513B"/>
    <w:multiLevelType w:val="multilevel"/>
    <w:tmpl w:val="8214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AB777F"/>
    <w:multiLevelType w:val="hybridMultilevel"/>
    <w:tmpl w:val="E27890AA"/>
    <w:lvl w:ilvl="0" w:tplc="415499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83AA3"/>
    <w:multiLevelType w:val="hybridMultilevel"/>
    <w:tmpl w:val="C510A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736FC"/>
    <w:multiLevelType w:val="multilevel"/>
    <w:tmpl w:val="44165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CC81C62"/>
    <w:multiLevelType w:val="hybridMultilevel"/>
    <w:tmpl w:val="E1F87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52146"/>
    <w:multiLevelType w:val="hybridMultilevel"/>
    <w:tmpl w:val="1F7AD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22FD"/>
    <w:multiLevelType w:val="hybridMultilevel"/>
    <w:tmpl w:val="446E934A"/>
    <w:lvl w:ilvl="0" w:tplc="2ACE89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34C6"/>
    <w:multiLevelType w:val="hybridMultilevel"/>
    <w:tmpl w:val="2532785C"/>
    <w:lvl w:ilvl="0" w:tplc="7AF0B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E6A4D"/>
    <w:multiLevelType w:val="multilevel"/>
    <w:tmpl w:val="988E1D4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25" w15:restartNumberingAfterBreak="0">
    <w:nsid w:val="710C3292"/>
    <w:multiLevelType w:val="hybridMultilevel"/>
    <w:tmpl w:val="D6DC7198"/>
    <w:lvl w:ilvl="0" w:tplc="4B62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12E8"/>
    <w:multiLevelType w:val="hybridMultilevel"/>
    <w:tmpl w:val="7300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36964"/>
    <w:multiLevelType w:val="hybridMultilevel"/>
    <w:tmpl w:val="75FE1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AA1"/>
    <w:multiLevelType w:val="multilevel"/>
    <w:tmpl w:val="3D705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611322"/>
    <w:multiLevelType w:val="hybridMultilevel"/>
    <w:tmpl w:val="D8A28096"/>
    <w:lvl w:ilvl="0" w:tplc="EB5E03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0" w15:restartNumberingAfterBreak="0">
    <w:nsid w:val="7F12221D"/>
    <w:multiLevelType w:val="hybridMultilevel"/>
    <w:tmpl w:val="BC5C841E"/>
    <w:lvl w:ilvl="0" w:tplc="2160B4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7F8A18C2"/>
    <w:multiLevelType w:val="hybridMultilevel"/>
    <w:tmpl w:val="8AF44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5864">
    <w:abstractNumId w:val="26"/>
  </w:num>
  <w:num w:numId="2" w16cid:durableId="25065387">
    <w:abstractNumId w:val="4"/>
  </w:num>
  <w:num w:numId="3" w16cid:durableId="314260479">
    <w:abstractNumId w:val="16"/>
  </w:num>
  <w:num w:numId="4" w16cid:durableId="794953173">
    <w:abstractNumId w:val="15"/>
  </w:num>
  <w:num w:numId="5" w16cid:durableId="328868604">
    <w:abstractNumId w:val="3"/>
  </w:num>
  <w:num w:numId="6" w16cid:durableId="1671981796">
    <w:abstractNumId w:val="5"/>
  </w:num>
  <w:num w:numId="7" w16cid:durableId="1151215975">
    <w:abstractNumId w:val="9"/>
  </w:num>
  <w:num w:numId="8" w16cid:durableId="2054378401">
    <w:abstractNumId w:val="10"/>
  </w:num>
  <w:num w:numId="9" w16cid:durableId="1910341340">
    <w:abstractNumId w:val="12"/>
  </w:num>
  <w:num w:numId="10" w16cid:durableId="2047365360">
    <w:abstractNumId w:val="25"/>
  </w:num>
  <w:num w:numId="11" w16cid:durableId="1593006880">
    <w:abstractNumId w:val="0"/>
  </w:num>
  <w:num w:numId="12" w16cid:durableId="200634217">
    <w:abstractNumId w:val="13"/>
  </w:num>
  <w:num w:numId="13" w16cid:durableId="1046640796">
    <w:abstractNumId w:val="17"/>
  </w:num>
  <w:num w:numId="14" w16cid:durableId="1544125509">
    <w:abstractNumId w:val="19"/>
  </w:num>
  <w:num w:numId="15" w16cid:durableId="737049669">
    <w:abstractNumId w:val="22"/>
  </w:num>
  <w:num w:numId="16" w16cid:durableId="19880524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976292">
    <w:abstractNumId w:val="31"/>
  </w:num>
  <w:num w:numId="18" w16cid:durableId="976109012">
    <w:abstractNumId w:val="23"/>
  </w:num>
  <w:num w:numId="19" w16cid:durableId="1207795572">
    <w:abstractNumId w:val="1"/>
  </w:num>
  <w:num w:numId="20" w16cid:durableId="1848783057">
    <w:abstractNumId w:val="30"/>
  </w:num>
  <w:num w:numId="21" w16cid:durableId="1729107972">
    <w:abstractNumId w:val="29"/>
  </w:num>
  <w:num w:numId="22" w16cid:durableId="940652081">
    <w:abstractNumId w:val="7"/>
  </w:num>
  <w:num w:numId="23" w16cid:durableId="1713922367">
    <w:abstractNumId w:val="11"/>
  </w:num>
  <w:num w:numId="24" w16cid:durableId="1286734266">
    <w:abstractNumId w:val="18"/>
  </w:num>
  <w:num w:numId="25" w16cid:durableId="1370034911">
    <w:abstractNumId w:val="14"/>
  </w:num>
  <w:num w:numId="26" w16cid:durableId="334891680">
    <w:abstractNumId w:val="6"/>
  </w:num>
  <w:num w:numId="27" w16cid:durableId="1367756222">
    <w:abstractNumId w:val="27"/>
  </w:num>
  <w:num w:numId="28" w16cid:durableId="895051085">
    <w:abstractNumId w:val="21"/>
  </w:num>
  <w:num w:numId="29" w16cid:durableId="933438047">
    <w:abstractNumId w:val="24"/>
  </w:num>
  <w:num w:numId="30" w16cid:durableId="1879005009">
    <w:abstractNumId w:val="8"/>
  </w:num>
  <w:num w:numId="31" w16cid:durableId="237639296">
    <w:abstractNumId w:val="2"/>
  </w:num>
  <w:num w:numId="32" w16cid:durableId="1813477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27179"/>
    <w:rsid w:val="00032BD3"/>
    <w:rsid w:val="00037E73"/>
    <w:rsid w:val="00063BF4"/>
    <w:rsid w:val="00075A16"/>
    <w:rsid w:val="0008244E"/>
    <w:rsid w:val="0008323E"/>
    <w:rsid w:val="0009791A"/>
    <w:rsid w:val="000A34A0"/>
    <w:rsid w:val="000A3E3B"/>
    <w:rsid w:val="000A4938"/>
    <w:rsid w:val="000C743B"/>
    <w:rsid w:val="001018E2"/>
    <w:rsid w:val="001043A0"/>
    <w:rsid w:val="00104B50"/>
    <w:rsid w:val="00121CF1"/>
    <w:rsid w:val="00122399"/>
    <w:rsid w:val="00124B94"/>
    <w:rsid w:val="00124C9D"/>
    <w:rsid w:val="00144C61"/>
    <w:rsid w:val="00146EE2"/>
    <w:rsid w:val="00146FB2"/>
    <w:rsid w:val="00155463"/>
    <w:rsid w:val="00157870"/>
    <w:rsid w:val="00170D48"/>
    <w:rsid w:val="00173028"/>
    <w:rsid w:val="00173D04"/>
    <w:rsid w:val="00181CE0"/>
    <w:rsid w:val="00182224"/>
    <w:rsid w:val="00195538"/>
    <w:rsid w:val="00196291"/>
    <w:rsid w:val="001966EC"/>
    <w:rsid w:val="001A6685"/>
    <w:rsid w:val="001A67C8"/>
    <w:rsid w:val="001B0371"/>
    <w:rsid w:val="001B5FA3"/>
    <w:rsid w:val="001D5BA4"/>
    <w:rsid w:val="001F68E6"/>
    <w:rsid w:val="00201A65"/>
    <w:rsid w:val="00202681"/>
    <w:rsid w:val="002503D7"/>
    <w:rsid w:val="00274A3B"/>
    <w:rsid w:val="00277F46"/>
    <w:rsid w:val="002875AB"/>
    <w:rsid w:val="00287D76"/>
    <w:rsid w:val="002A1641"/>
    <w:rsid w:val="002C0D74"/>
    <w:rsid w:val="002C1049"/>
    <w:rsid w:val="002C4BD6"/>
    <w:rsid w:val="002C6969"/>
    <w:rsid w:val="002D7BEC"/>
    <w:rsid w:val="002F3743"/>
    <w:rsid w:val="00306250"/>
    <w:rsid w:val="003219ED"/>
    <w:rsid w:val="003228DF"/>
    <w:rsid w:val="00323A4B"/>
    <w:rsid w:val="003262F0"/>
    <w:rsid w:val="003339F5"/>
    <w:rsid w:val="00341494"/>
    <w:rsid w:val="00350F4D"/>
    <w:rsid w:val="0035646F"/>
    <w:rsid w:val="00362DBE"/>
    <w:rsid w:val="003761BF"/>
    <w:rsid w:val="00381F11"/>
    <w:rsid w:val="00383E0E"/>
    <w:rsid w:val="003859C0"/>
    <w:rsid w:val="003B324E"/>
    <w:rsid w:val="003B540C"/>
    <w:rsid w:val="003C2933"/>
    <w:rsid w:val="003E5351"/>
    <w:rsid w:val="003F7FB7"/>
    <w:rsid w:val="004032DB"/>
    <w:rsid w:val="00405351"/>
    <w:rsid w:val="00423B38"/>
    <w:rsid w:val="004351ED"/>
    <w:rsid w:val="00443339"/>
    <w:rsid w:val="004640A1"/>
    <w:rsid w:val="00466232"/>
    <w:rsid w:val="004671A6"/>
    <w:rsid w:val="0047147A"/>
    <w:rsid w:val="004722F6"/>
    <w:rsid w:val="0047679B"/>
    <w:rsid w:val="00480625"/>
    <w:rsid w:val="00481AAB"/>
    <w:rsid w:val="004B1E41"/>
    <w:rsid w:val="004B205A"/>
    <w:rsid w:val="004B6155"/>
    <w:rsid w:val="004C075B"/>
    <w:rsid w:val="004D5A4D"/>
    <w:rsid w:val="004E6C87"/>
    <w:rsid w:val="004F0790"/>
    <w:rsid w:val="004F3FF5"/>
    <w:rsid w:val="004F62BB"/>
    <w:rsid w:val="00503CC6"/>
    <w:rsid w:val="00511EF9"/>
    <w:rsid w:val="00572582"/>
    <w:rsid w:val="005A0377"/>
    <w:rsid w:val="005A1592"/>
    <w:rsid w:val="005A29A6"/>
    <w:rsid w:val="005C097B"/>
    <w:rsid w:val="005C4311"/>
    <w:rsid w:val="006018FE"/>
    <w:rsid w:val="00611CF4"/>
    <w:rsid w:val="00624311"/>
    <w:rsid w:val="00627429"/>
    <w:rsid w:val="0064541B"/>
    <w:rsid w:val="00661BFE"/>
    <w:rsid w:val="006641EA"/>
    <w:rsid w:val="006679A1"/>
    <w:rsid w:val="00691DA5"/>
    <w:rsid w:val="0069475F"/>
    <w:rsid w:val="006A2DB0"/>
    <w:rsid w:val="006A436C"/>
    <w:rsid w:val="006A56B6"/>
    <w:rsid w:val="006C7F40"/>
    <w:rsid w:val="006E1D9B"/>
    <w:rsid w:val="006F53A5"/>
    <w:rsid w:val="006F7ED4"/>
    <w:rsid w:val="007053FD"/>
    <w:rsid w:val="00733122"/>
    <w:rsid w:val="00742769"/>
    <w:rsid w:val="00765287"/>
    <w:rsid w:val="007746DB"/>
    <w:rsid w:val="00775008"/>
    <w:rsid w:val="0077735C"/>
    <w:rsid w:val="00777B9F"/>
    <w:rsid w:val="00787897"/>
    <w:rsid w:val="00787E16"/>
    <w:rsid w:val="00787F7C"/>
    <w:rsid w:val="007A03A8"/>
    <w:rsid w:val="007A14A2"/>
    <w:rsid w:val="007A3D2B"/>
    <w:rsid w:val="007A622E"/>
    <w:rsid w:val="007C52F7"/>
    <w:rsid w:val="007D535F"/>
    <w:rsid w:val="007E7C2D"/>
    <w:rsid w:val="007F1DE9"/>
    <w:rsid w:val="008232F3"/>
    <w:rsid w:val="00823324"/>
    <w:rsid w:val="0084671E"/>
    <w:rsid w:val="00864D75"/>
    <w:rsid w:val="00871CD3"/>
    <w:rsid w:val="0087504E"/>
    <w:rsid w:val="00886959"/>
    <w:rsid w:val="0089290B"/>
    <w:rsid w:val="0089751E"/>
    <w:rsid w:val="008B5E4A"/>
    <w:rsid w:val="008B7DA7"/>
    <w:rsid w:val="008C0295"/>
    <w:rsid w:val="008C223F"/>
    <w:rsid w:val="008E0AD2"/>
    <w:rsid w:val="008F354E"/>
    <w:rsid w:val="008F6E42"/>
    <w:rsid w:val="009078A9"/>
    <w:rsid w:val="00914F22"/>
    <w:rsid w:val="00915F6B"/>
    <w:rsid w:val="0092771C"/>
    <w:rsid w:val="00944D9C"/>
    <w:rsid w:val="009465B0"/>
    <w:rsid w:val="00946935"/>
    <w:rsid w:val="009522A0"/>
    <w:rsid w:val="00953CA3"/>
    <w:rsid w:val="0095591F"/>
    <w:rsid w:val="0097284B"/>
    <w:rsid w:val="00997298"/>
    <w:rsid w:val="009A3EBE"/>
    <w:rsid w:val="009B02EA"/>
    <w:rsid w:val="009C5A15"/>
    <w:rsid w:val="009D6865"/>
    <w:rsid w:val="009E3CC7"/>
    <w:rsid w:val="009E6536"/>
    <w:rsid w:val="009F473E"/>
    <w:rsid w:val="00A0234D"/>
    <w:rsid w:val="00A11304"/>
    <w:rsid w:val="00A240E4"/>
    <w:rsid w:val="00A34EA5"/>
    <w:rsid w:val="00A420B6"/>
    <w:rsid w:val="00A46F26"/>
    <w:rsid w:val="00A613F7"/>
    <w:rsid w:val="00A61436"/>
    <w:rsid w:val="00A677EC"/>
    <w:rsid w:val="00A81024"/>
    <w:rsid w:val="00A90AC5"/>
    <w:rsid w:val="00AB64FA"/>
    <w:rsid w:val="00AC5359"/>
    <w:rsid w:val="00AE2ED0"/>
    <w:rsid w:val="00AF27AF"/>
    <w:rsid w:val="00AF4D9C"/>
    <w:rsid w:val="00B2079D"/>
    <w:rsid w:val="00B317BC"/>
    <w:rsid w:val="00B4795C"/>
    <w:rsid w:val="00B507EA"/>
    <w:rsid w:val="00B60892"/>
    <w:rsid w:val="00B62BAE"/>
    <w:rsid w:val="00B63291"/>
    <w:rsid w:val="00B7389B"/>
    <w:rsid w:val="00B8639D"/>
    <w:rsid w:val="00B8671D"/>
    <w:rsid w:val="00BB0B18"/>
    <w:rsid w:val="00BB1813"/>
    <w:rsid w:val="00BB5FB2"/>
    <w:rsid w:val="00BC015D"/>
    <w:rsid w:val="00BE0B80"/>
    <w:rsid w:val="00BE1DBF"/>
    <w:rsid w:val="00C0331A"/>
    <w:rsid w:val="00C453D6"/>
    <w:rsid w:val="00C5609A"/>
    <w:rsid w:val="00C650DF"/>
    <w:rsid w:val="00C70ACB"/>
    <w:rsid w:val="00C71F24"/>
    <w:rsid w:val="00C8132A"/>
    <w:rsid w:val="00C94514"/>
    <w:rsid w:val="00CA33FD"/>
    <w:rsid w:val="00CC6FC5"/>
    <w:rsid w:val="00CD5D98"/>
    <w:rsid w:val="00D03A40"/>
    <w:rsid w:val="00D551E2"/>
    <w:rsid w:val="00D57D0D"/>
    <w:rsid w:val="00D7223E"/>
    <w:rsid w:val="00D90F53"/>
    <w:rsid w:val="00D9114A"/>
    <w:rsid w:val="00D9620D"/>
    <w:rsid w:val="00DA04AA"/>
    <w:rsid w:val="00DA61D0"/>
    <w:rsid w:val="00DC48F0"/>
    <w:rsid w:val="00DD3F19"/>
    <w:rsid w:val="00DE7A20"/>
    <w:rsid w:val="00DF0929"/>
    <w:rsid w:val="00DF54B2"/>
    <w:rsid w:val="00E04642"/>
    <w:rsid w:val="00E07352"/>
    <w:rsid w:val="00E369A5"/>
    <w:rsid w:val="00E6074D"/>
    <w:rsid w:val="00E711CB"/>
    <w:rsid w:val="00E72187"/>
    <w:rsid w:val="00E85790"/>
    <w:rsid w:val="00EA288A"/>
    <w:rsid w:val="00EA7B4C"/>
    <w:rsid w:val="00EB193C"/>
    <w:rsid w:val="00EB681C"/>
    <w:rsid w:val="00EB7EE4"/>
    <w:rsid w:val="00EC27EF"/>
    <w:rsid w:val="00EC3132"/>
    <w:rsid w:val="00EC665D"/>
    <w:rsid w:val="00F01B6B"/>
    <w:rsid w:val="00F02668"/>
    <w:rsid w:val="00F02FE3"/>
    <w:rsid w:val="00F11CC1"/>
    <w:rsid w:val="00F34C3E"/>
    <w:rsid w:val="00F418B3"/>
    <w:rsid w:val="00F46D04"/>
    <w:rsid w:val="00F51D85"/>
    <w:rsid w:val="00F60733"/>
    <w:rsid w:val="00F706D7"/>
    <w:rsid w:val="00F941C8"/>
    <w:rsid w:val="00F97647"/>
    <w:rsid w:val="00FA2A58"/>
    <w:rsid w:val="00FF2B7B"/>
    <w:rsid w:val="00FF2ED9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D55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Vaida Trasikienė</cp:lastModifiedBy>
  <cp:revision>3</cp:revision>
  <dcterms:created xsi:type="dcterms:W3CDTF">2024-08-08T10:28:00Z</dcterms:created>
  <dcterms:modified xsi:type="dcterms:W3CDTF">2024-12-17T06:29:00Z</dcterms:modified>
</cp:coreProperties>
</file>