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1"/>
        <w:tblW w:w="13993" w:type="dxa"/>
        <w:tblLook w:val="04A0" w:firstRow="1" w:lastRow="0" w:firstColumn="1" w:lastColumn="0" w:noHBand="0" w:noVBand="1"/>
      </w:tblPr>
      <w:tblGrid>
        <w:gridCol w:w="509"/>
        <w:gridCol w:w="3226"/>
        <w:gridCol w:w="3147"/>
        <w:gridCol w:w="3463"/>
        <w:gridCol w:w="3648"/>
      </w:tblGrid>
      <w:tr w:rsidR="00EA2B44" w:rsidRPr="002724AB" w14:paraId="7CE1248B" w14:textId="5000054D" w:rsidTr="00EA2B44">
        <w:trPr>
          <w:trHeight w:val="16"/>
        </w:trPr>
        <w:tc>
          <w:tcPr>
            <w:tcW w:w="0" w:type="auto"/>
            <w:shd w:val="clear" w:color="auto" w:fill="F2F2F2" w:themeFill="background1" w:themeFillShade="F2"/>
          </w:tcPr>
          <w:p w14:paraId="2DDC50C8" w14:textId="77777777" w:rsidR="00EA2B44" w:rsidRPr="002724AB" w:rsidRDefault="00EA2B44" w:rsidP="005B1108">
            <w:pPr>
              <w:jc w:val="center"/>
              <w:rPr>
                <w:rFonts w:ascii="Times New Roman" w:hAnsi="Times New Roman"/>
                <w:b/>
                <w:bCs/>
                <w:i/>
                <w:sz w:val="20"/>
                <w:szCs w:val="20"/>
              </w:rPr>
            </w:pPr>
            <w:proofErr w:type="spellStart"/>
            <w:r w:rsidRPr="002724AB">
              <w:rPr>
                <w:b/>
                <w:bCs/>
                <w:sz w:val="20"/>
                <w:szCs w:val="20"/>
              </w:rPr>
              <w:t>No</w:t>
            </w:r>
            <w:proofErr w:type="spellEnd"/>
            <w:r w:rsidRPr="002724AB">
              <w:rPr>
                <w:b/>
                <w:bCs/>
                <w:sz w:val="20"/>
                <w:szCs w:val="20"/>
              </w:rPr>
              <w:t>.</w:t>
            </w:r>
          </w:p>
        </w:tc>
        <w:tc>
          <w:tcPr>
            <w:tcW w:w="3228" w:type="dxa"/>
            <w:shd w:val="clear" w:color="auto" w:fill="F2F2F2" w:themeFill="background1" w:themeFillShade="F2"/>
            <w:vAlign w:val="center"/>
          </w:tcPr>
          <w:p w14:paraId="7813D42E" w14:textId="77777777" w:rsidR="00EA2B44" w:rsidRPr="002724AB" w:rsidRDefault="00EA2B44" w:rsidP="005B1108">
            <w:pPr>
              <w:jc w:val="center"/>
              <w:rPr>
                <w:rFonts w:ascii="Times New Roman" w:hAnsi="Times New Roman"/>
                <w:b/>
                <w:bCs/>
                <w:i/>
                <w:sz w:val="20"/>
                <w:szCs w:val="20"/>
              </w:rPr>
            </w:pPr>
            <w:proofErr w:type="spellStart"/>
            <w:r w:rsidRPr="002724AB">
              <w:rPr>
                <w:b/>
                <w:bCs/>
                <w:sz w:val="20"/>
                <w:szCs w:val="20"/>
              </w:rPr>
              <w:t>Question</w:t>
            </w:r>
            <w:proofErr w:type="spellEnd"/>
          </w:p>
        </w:tc>
        <w:tc>
          <w:tcPr>
            <w:tcW w:w="3148" w:type="dxa"/>
            <w:shd w:val="clear" w:color="auto" w:fill="F2F2F2" w:themeFill="background1" w:themeFillShade="F2"/>
            <w:vAlign w:val="center"/>
          </w:tcPr>
          <w:p w14:paraId="2BBFEC83" w14:textId="77777777" w:rsidR="00EA2B44" w:rsidRPr="002724AB" w:rsidRDefault="00EA2B44" w:rsidP="005B1108">
            <w:pPr>
              <w:jc w:val="center"/>
              <w:rPr>
                <w:rFonts w:ascii="Times New Roman" w:hAnsi="Times New Roman"/>
                <w:b/>
                <w:bCs/>
                <w:i/>
                <w:sz w:val="20"/>
                <w:szCs w:val="20"/>
              </w:rPr>
            </w:pPr>
            <w:proofErr w:type="spellStart"/>
            <w:r w:rsidRPr="002724AB">
              <w:rPr>
                <w:b/>
                <w:bCs/>
                <w:sz w:val="20"/>
                <w:szCs w:val="20"/>
              </w:rPr>
              <w:t>Supplier’s</w:t>
            </w:r>
            <w:proofErr w:type="spellEnd"/>
            <w:r w:rsidRPr="002724AB">
              <w:rPr>
                <w:b/>
                <w:bCs/>
                <w:sz w:val="20"/>
                <w:szCs w:val="20"/>
              </w:rPr>
              <w:t xml:space="preserve"> </w:t>
            </w:r>
            <w:proofErr w:type="spellStart"/>
            <w:r w:rsidRPr="002724AB">
              <w:rPr>
                <w:b/>
                <w:bCs/>
                <w:sz w:val="20"/>
                <w:szCs w:val="20"/>
              </w:rPr>
              <w:t>answer</w:t>
            </w:r>
            <w:proofErr w:type="spellEnd"/>
          </w:p>
        </w:tc>
        <w:tc>
          <w:tcPr>
            <w:tcW w:w="3465" w:type="dxa"/>
          </w:tcPr>
          <w:p w14:paraId="029FE5AA" w14:textId="07F1ACC1" w:rsidR="00EA2B44" w:rsidRPr="002724AB" w:rsidRDefault="00EA2B44" w:rsidP="005B1108">
            <w:pPr>
              <w:jc w:val="center"/>
              <w:rPr>
                <w:b/>
                <w:bCs/>
                <w:sz w:val="20"/>
                <w:szCs w:val="20"/>
              </w:rPr>
            </w:pPr>
            <w:r w:rsidRPr="002724AB">
              <w:rPr>
                <w:b/>
                <w:bCs/>
                <w:sz w:val="20"/>
                <w:szCs w:val="20"/>
              </w:rPr>
              <w:t>Vertimas</w:t>
            </w:r>
          </w:p>
        </w:tc>
        <w:tc>
          <w:tcPr>
            <w:tcW w:w="3650" w:type="dxa"/>
          </w:tcPr>
          <w:p w14:paraId="2BD849CB" w14:textId="2FBF711C" w:rsidR="00EA2B44" w:rsidRPr="000E64D6" w:rsidRDefault="002724AB" w:rsidP="005B1108">
            <w:pPr>
              <w:jc w:val="center"/>
              <w:rPr>
                <w:b/>
                <w:bCs/>
                <w:color w:val="EE0000"/>
                <w:sz w:val="20"/>
                <w:szCs w:val="20"/>
              </w:rPr>
            </w:pPr>
            <w:r w:rsidRPr="000E64D6">
              <w:rPr>
                <w:b/>
                <w:bCs/>
                <w:color w:val="EE0000"/>
                <w:sz w:val="20"/>
                <w:szCs w:val="20"/>
              </w:rPr>
              <w:t>Komentaras</w:t>
            </w:r>
          </w:p>
        </w:tc>
      </w:tr>
      <w:tr w:rsidR="00424F47" w:rsidRPr="006F4F03" w14:paraId="1AE2F89F" w14:textId="2393BD06" w:rsidTr="00EA2B44">
        <w:trPr>
          <w:trHeight w:val="16"/>
        </w:trPr>
        <w:tc>
          <w:tcPr>
            <w:tcW w:w="0" w:type="auto"/>
            <w:vAlign w:val="center"/>
          </w:tcPr>
          <w:p w14:paraId="6443E939" w14:textId="77777777" w:rsidR="00424F47" w:rsidRPr="00EA2B44" w:rsidRDefault="00424F47" w:rsidP="0067165D">
            <w:pPr>
              <w:pStyle w:val="Sraopastraipa"/>
              <w:numPr>
                <w:ilvl w:val="0"/>
                <w:numId w:val="1"/>
              </w:numPr>
              <w:tabs>
                <w:tab w:val="left" w:pos="0"/>
              </w:tabs>
              <w:spacing w:after="0" w:line="240" w:lineRule="auto"/>
              <w:ind w:left="0" w:firstLine="0"/>
              <w:jc w:val="center"/>
              <w:rPr>
                <w:rFonts w:ascii="Times New Roman" w:hAnsi="Times New Roman"/>
                <w:i/>
                <w:sz w:val="20"/>
                <w:szCs w:val="20"/>
              </w:rPr>
            </w:pPr>
          </w:p>
        </w:tc>
        <w:tc>
          <w:tcPr>
            <w:tcW w:w="3228" w:type="dxa"/>
            <w:vMerge w:val="restart"/>
          </w:tcPr>
          <w:p w14:paraId="1C570BF2" w14:textId="77777777" w:rsidR="00424F47" w:rsidRPr="00EA2B44" w:rsidRDefault="00424F47" w:rsidP="005B1108">
            <w:pPr>
              <w:jc w:val="both"/>
              <w:rPr>
                <w:rFonts w:ascii="Times New Roman" w:hAnsi="Times New Roman"/>
                <w:iCs/>
                <w:sz w:val="20"/>
                <w:szCs w:val="20"/>
                <w:lang w:val="en-US"/>
              </w:rPr>
            </w:pPr>
            <w:r w:rsidRPr="00EA2B44">
              <w:rPr>
                <w:rFonts w:ascii="Times New Roman" w:hAnsi="Times New Roman"/>
                <w:iCs/>
                <w:sz w:val="20"/>
                <w:szCs w:val="20"/>
                <w:lang w:val="en-US"/>
              </w:rPr>
              <w:t xml:space="preserve">1. Do you have any comments or questions regarding the draft technical specifications? </w:t>
            </w:r>
          </w:p>
          <w:p w14:paraId="60FC6A72" w14:textId="77777777" w:rsidR="00424F47" w:rsidRPr="00EA2B44" w:rsidRDefault="00424F47" w:rsidP="005B1108">
            <w:pPr>
              <w:jc w:val="both"/>
              <w:rPr>
                <w:rFonts w:ascii="Times New Roman" w:hAnsi="Times New Roman"/>
                <w:iCs/>
                <w:sz w:val="20"/>
                <w:szCs w:val="20"/>
                <w:lang w:val="en-US"/>
              </w:rPr>
            </w:pPr>
            <w:r w:rsidRPr="00EA2B44">
              <w:rPr>
                <w:rFonts w:ascii="Times New Roman" w:hAnsi="Times New Roman"/>
                <w:iCs/>
                <w:sz w:val="20"/>
                <w:szCs w:val="20"/>
                <w:lang w:val="en-US"/>
              </w:rPr>
              <w:t>What additional conditions would you suggest adding to the technical specifications, or which ones should be removed?</w:t>
            </w:r>
          </w:p>
          <w:p w14:paraId="52720D64" w14:textId="16DE7178" w:rsidR="00424F47" w:rsidRPr="00EA2B44" w:rsidRDefault="00424F47" w:rsidP="005B1108">
            <w:pPr>
              <w:jc w:val="both"/>
              <w:rPr>
                <w:rFonts w:ascii="Times New Roman" w:hAnsi="Times New Roman"/>
                <w:i/>
                <w:sz w:val="20"/>
                <w:szCs w:val="20"/>
              </w:rPr>
            </w:pPr>
            <w:r w:rsidRPr="00EA2B44">
              <w:rPr>
                <w:rFonts w:ascii="Times New Roman" w:hAnsi="Times New Roman"/>
                <w:i/>
                <w:sz w:val="20"/>
                <w:szCs w:val="20"/>
                <w:highlight w:val="yellow"/>
                <w:lang w:val="en-US"/>
              </w:rPr>
              <w:t>1.</w:t>
            </w:r>
            <w:r w:rsidRPr="00EA2B44">
              <w:rPr>
                <w:rFonts w:ascii="Times New Roman" w:hAnsi="Times New Roman"/>
                <w:i/>
                <w:sz w:val="20"/>
                <w:szCs w:val="20"/>
                <w:highlight w:val="yellow"/>
              </w:rPr>
              <w:t>Ar turite kokių nors pastabų ar klausimų dėl techninių specifikacijų projekto?</w:t>
            </w:r>
            <w:r w:rsidRPr="00EA2B44">
              <w:rPr>
                <w:rFonts w:ascii="Times New Roman" w:hAnsi="Times New Roman"/>
                <w:i/>
                <w:sz w:val="20"/>
                <w:szCs w:val="20"/>
                <w:highlight w:val="yellow"/>
              </w:rPr>
              <w:br/>
              <w:t>Kokias papildomas sąlygas siūlytumėte įtraukti į technines specifikacijas, o kurias – pašalinti?</w:t>
            </w:r>
          </w:p>
        </w:tc>
        <w:tc>
          <w:tcPr>
            <w:tcW w:w="3148" w:type="dxa"/>
          </w:tcPr>
          <w:p w14:paraId="7C78A44B" w14:textId="77777777" w:rsidR="00424F47" w:rsidRPr="00EA2B44" w:rsidRDefault="00424F47" w:rsidP="005B1108">
            <w:pPr>
              <w:jc w:val="both"/>
              <w:rPr>
                <w:rFonts w:ascii="Times New Roman" w:hAnsi="Times New Roman"/>
                <w:i/>
                <w:sz w:val="20"/>
                <w:szCs w:val="20"/>
                <w:lang w:val="en-US"/>
              </w:rPr>
            </w:pPr>
            <w:r w:rsidRPr="00EA2B44">
              <w:rPr>
                <w:rFonts w:ascii="Times New Roman" w:hAnsi="Times New Roman"/>
                <w:i/>
                <w:sz w:val="20"/>
                <w:szCs w:val="20"/>
                <w:lang w:val="en-US"/>
              </w:rPr>
              <w:t>Seminar contents – general comment:</w:t>
            </w:r>
          </w:p>
          <w:p w14:paraId="33D559CE" w14:textId="5A7C34E9" w:rsidR="00424F47" w:rsidRPr="00EA2B44" w:rsidRDefault="00424F47" w:rsidP="005B1108">
            <w:pPr>
              <w:jc w:val="both"/>
              <w:rPr>
                <w:rFonts w:ascii="Times New Roman" w:hAnsi="Times New Roman"/>
                <w:i/>
                <w:sz w:val="20"/>
                <w:szCs w:val="20"/>
                <w:lang w:val="en-US"/>
              </w:rPr>
            </w:pPr>
            <w:r w:rsidRPr="00EA2B44">
              <w:rPr>
                <w:rFonts w:ascii="Times New Roman" w:hAnsi="Times New Roman"/>
                <w:i/>
                <w:sz w:val="20"/>
                <w:szCs w:val="20"/>
                <w:lang w:val="en-US"/>
              </w:rPr>
              <w:t xml:space="preserve">The proposed seminar topics appear to overlap considerably, and the scope of content in each seminar seems quite broad. This breadth may only allow for a superficial treatment of individual topics. We would therefore like to suggest developing a more coherent and consistent seminar structure, where sessions build on one another and have clearly defined, realistic learning objectives and outcomes, </w:t>
            </w:r>
            <w:proofErr w:type="gramStart"/>
            <w:r w:rsidRPr="00EA2B44">
              <w:rPr>
                <w:rFonts w:ascii="Times New Roman" w:hAnsi="Times New Roman"/>
                <w:i/>
                <w:sz w:val="20"/>
                <w:szCs w:val="20"/>
                <w:lang w:val="en-US"/>
              </w:rPr>
              <w:t>taking into account</w:t>
            </w:r>
            <w:proofErr w:type="gramEnd"/>
            <w:r w:rsidRPr="00EA2B44">
              <w:rPr>
                <w:rFonts w:ascii="Times New Roman" w:hAnsi="Times New Roman"/>
                <w:i/>
                <w:sz w:val="20"/>
                <w:szCs w:val="20"/>
                <w:lang w:val="en-US"/>
              </w:rPr>
              <w:t xml:space="preserve"> the available time. To enable this, we propose that the call allow for this flexibility. </w:t>
            </w:r>
            <w:r w:rsidRPr="00EA2B44">
              <w:rPr>
                <w:rFonts w:ascii="Times New Roman" w:hAnsi="Times New Roman"/>
                <w:b/>
                <w:bCs/>
                <w:i/>
                <w:sz w:val="20"/>
                <w:szCs w:val="20"/>
                <w:lang w:val="en-US"/>
              </w:rPr>
              <w:t>We strongly recommend defining only overarching goals and contents of the whole series rather than prescribing overly detailed seminar contents, and ask the potential service provider to propose a coherent series of 12 workshops to achieve the goals.</w:t>
            </w:r>
          </w:p>
        </w:tc>
        <w:tc>
          <w:tcPr>
            <w:tcW w:w="3465" w:type="dxa"/>
          </w:tcPr>
          <w:p w14:paraId="72452492" w14:textId="71CDA43D" w:rsidR="00424F47" w:rsidRPr="0067165D" w:rsidRDefault="00424F47" w:rsidP="0067165D">
            <w:pPr>
              <w:jc w:val="both"/>
              <w:rPr>
                <w:rFonts w:ascii="Times New Roman" w:hAnsi="Times New Roman"/>
                <w:i/>
                <w:sz w:val="20"/>
                <w:szCs w:val="20"/>
              </w:rPr>
            </w:pPr>
            <w:r w:rsidRPr="00EA2B44">
              <w:rPr>
                <w:rFonts w:ascii="Times New Roman" w:hAnsi="Times New Roman"/>
                <w:b/>
                <w:bCs/>
                <w:i/>
                <w:sz w:val="20"/>
                <w:szCs w:val="20"/>
              </w:rPr>
              <w:t>B</w:t>
            </w:r>
            <w:r w:rsidRPr="0067165D">
              <w:rPr>
                <w:rFonts w:ascii="Times New Roman" w:hAnsi="Times New Roman"/>
                <w:b/>
                <w:bCs/>
                <w:i/>
                <w:sz w:val="20"/>
                <w:szCs w:val="20"/>
              </w:rPr>
              <w:t>endros pastabos dėl seminarų turinio:</w:t>
            </w:r>
          </w:p>
          <w:p w14:paraId="6198DC37" w14:textId="77777777" w:rsidR="00424F47" w:rsidRPr="0067165D" w:rsidRDefault="00424F47" w:rsidP="0067165D">
            <w:pPr>
              <w:jc w:val="both"/>
              <w:rPr>
                <w:rFonts w:ascii="Times New Roman" w:hAnsi="Times New Roman"/>
                <w:i/>
                <w:sz w:val="20"/>
                <w:szCs w:val="20"/>
              </w:rPr>
            </w:pPr>
            <w:r w:rsidRPr="0067165D">
              <w:rPr>
                <w:rFonts w:ascii="Times New Roman" w:hAnsi="Times New Roman"/>
                <w:i/>
                <w:sz w:val="20"/>
                <w:szCs w:val="20"/>
              </w:rPr>
              <w:t xml:space="preserve">Siūlomos seminarų temos atrodo gana stipriai </w:t>
            </w:r>
            <w:r w:rsidRPr="0067165D">
              <w:rPr>
                <w:rFonts w:ascii="Times New Roman" w:hAnsi="Times New Roman"/>
                <w:b/>
                <w:bCs/>
                <w:i/>
                <w:sz w:val="20"/>
                <w:szCs w:val="20"/>
              </w:rPr>
              <w:t>persidengiančios</w:t>
            </w:r>
            <w:r w:rsidRPr="0067165D">
              <w:rPr>
                <w:rFonts w:ascii="Times New Roman" w:hAnsi="Times New Roman"/>
                <w:i/>
                <w:sz w:val="20"/>
                <w:szCs w:val="20"/>
              </w:rPr>
              <w:t xml:space="preserve">, o kiekvieno seminaro turinys </w:t>
            </w:r>
            <w:r w:rsidRPr="0067165D">
              <w:rPr>
                <w:rFonts w:ascii="Times New Roman" w:hAnsi="Times New Roman"/>
                <w:b/>
                <w:bCs/>
                <w:i/>
                <w:sz w:val="20"/>
                <w:szCs w:val="20"/>
              </w:rPr>
              <w:t>– labai platus</w:t>
            </w:r>
            <w:r w:rsidRPr="0067165D">
              <w:rPr>
                <w:rFonts w:ascii="Times New Roman" w:hAnsi="Times New Roman"/>
                <w:i/>
                <w:sz w:val="20"/>
                <w:szCs w:val="20"/>
              </w:rPr>
              <w:t xml:space="preserve">. Dėl šio platumo gali būti, kad atskiri klausimai bus nagrinėjami tik paviršutiniškai. Todėl siūlome sukurti nuoseklesnę ir vientisesnę seminarų struktūrą, kurioje sesijos viena kitą papildytų ir turėtų aiškiai apibrėžtus, </w:t>
            </w:r>
            <w:r w:rsidRPr="0067165D">
              <w:rPr>
                <w:rFonts w:ascii="Times New Roman" w:hAnsi="Times New Roman"/>
                <w:b/>
                <w:bCs/>
                <w:i/>
                <w:sz w:val="20"/>
                <w:szCs w:val="20"/>
              </w:rPr>
              <w:t>realistiškus mokymosi tikslus ir rezultatus, atsižvelgiant į turimą laiką.</w:t>
            </w:r>
            <w:r w:rsidRPr="0067165D">
              <w:rPr>
                <w:rFonts w:ascii="Times New Roman" w:hAnsi="Times New Roman"/>
                <w:i/>
                <w:sz w:val="20"/>
                <w:szCs w:val="20"/>
              </w:rPr>
              <w:t xml:space="preserve"> Kad tai būtų įmanoma, siūlome konkurso sąlygose numatyti lankstumą. Primygtinai rekomenduojame apibrėžti tik bendrus visos seminarų serijos tikslus ir turinį, o </w:t>
            </w:r>
            <w:r w:rsidRPr="0067165D">
              <w:rPr>
                <w:rFonts w:ascii="Times New Roman" w:hAnsi="Times New Roman"/>
                <w:b/>
                <w:bCs/>
                <w:i/>
                <w:sz w:val="20"/>
                <w:szCs w:val="20"/>
              </w:rPr>
              <w:t>ne pernelyg detaliai nurodyti kiekvieno seminaro turinį</w:t>
            </w:r>
            <w:r w:rsidRPr="0067165D">
              <w:rPr>
                <w:rFonts w:ascii="Times New Roman" w:hAnsi="Times New Roman"/>
                <w:i/>
                <w:sz w:val="20"/>
                <w:szCs w:val="20"/>
              </w:rPr>
              <w:t>, ir leisti potencialiam paslaugų teikėjui pasiūlyti nuoseklią 12 seminarų seriją, skirtą šiems tikslams pasiekti.</w:t>
            </w:r>
          </w:p>
          <w:p w14:paraId="1B93DA93" w14:textId="0B0FEAF6" w:rsidR="00424F47" w:rsidRPr="00EA2B44" w:rsidRDefault="00424F47" w:rsidP="005B1108">
            <w:pPr>
              <w:jc w:val="both"/>
              <w:rPr>
                <w:rFonts w:ascii="Times New Roman" w:hAnsi="Times New Roman"/>
                <w:i/>
                <w:sz w:val="20"/>
                <w:szCs w:val="20"/>
              </w:rPr>
            </w:pPr>
          </w:p>
        </w:tc>
        <w:tc>
          <w:tcPr>
            <w:tcW w:w="3650" w:type="dxa"/>
          </w:tcPr>
          <w:p w14:paraId="18705489" w14:textId="77777777" w:rsidR="00424F47" w:rsidRPr="000E64D6" w:rsidRDefault="00424F47" w:rsidP="0067165D">
            <w:pPr>
              <w:jc w:val="both"/>
              <w:rPr>
                <w:rFonts w:ascii="Times New Roman" w:hAnsi="Times New Roman"/>
                <w:b/>
                <w:bCs/>
                <w:i/>
                <w:color w:val="EE0000"/>
                <w:sz w:val="20"/>
                <w:szCs w:val="20"/>
              </w:rPr>
            </w:pPr>
          </w:p>
          <w:p w14:paraId="306B36B0" w14:textId="0A0E7ED7" w:rsidR="002724AB" w:rsidRPr="009C17BB" w:rsidRDefault="00EE10B7" w:rsidP="0067165D">
            <w:pPr>
              <w:jc w:val="both"/>
              <w:rPr>
                <w:rFonts w:ascii="Times New Roman" w:hAnsi="Times New Roman"/>
                <w:iCs/>
                <w:color w:val="EE0000"/>
                <w:sz w:val="20"/>
                <w:szCs w:val="20"/>
              </w:rPr>
            </w:pPr>
            <w:r w:rsidRPr="53A0FD1C">
              <w:rPr>
                <w:rFonts w:ascii="Times New Roman" w:hAnsi="Times New Roman"/>
                <w:color w:val="EE0000"/>
                <w:sz w:val="20"/>
                <w:szCs w:val="20"/>
              </w:rPr>
              <w:t>S</w:t>
            </w:r>
            <w:r w:rsidR="0075471D" w:rsidRPr="53A0FD1C">
              <w:rPr>
                <w:rFonts w:ascii="Times New Roman" w:hAnsi="Times New Roman"/>
                <w:color w:val="EE0000"/>
                <w:sz w:val="20"/>
                <w:szCs w:val="20"/>
              </w:rPr>
              <w:t>eminaro turinys patikslintas</w:t>
            </w:r>
            <w:r w:rsidRPr="53A0FD1C">
              <w:rPr>
                <w:rFonts w:ascii="Times New Roman" w:hAnsi="Times New Roman"/>
                <w:color w:val="EE0000"/>
                <w:sz w:val="20"/>
                <w:szCs w:val="20"/>
              </w:rPr>
              <w:t xml:space="preserve">, </w:t>
            </w:r>
            <w:r w:rsidR="00227805" w:rsidRPr="53A0FD1C">
              <w:rPr>
                <w:rFonts w:ascii="Times New Roman" w:hAnsi="Times New Roman"/>
                <w:color w:val="EE0000"/>
                <w:sz w:val="20"/>
                <w:szCs w:val="20"/>
              </w:rPr>
              <w:t xml:space="preserve">panaikinant persidengiančias </w:t>
            </w:r>
            <w:r w:rsidR="00822FDC" w:rsidRPr="53A0FD1C">
              <w:rPr>
                <w:rFonts w:ascii="Times New Roman" w:hAnsi="Times New Roman"/>
                <w:color w:val="EE0000"/>
                <w:sz w:val="20"/>
                <w:szCs w:val="20"/>
              </w:rPr>
              <w:t xml:space="preserve">temas, </w:t>
            </w:r>
            <w:r w:rsidR="00105F96" w:rsidRPr="53A0FD1C">
              <w:rPr>
                <w:rFonts w:ascii="Times New Roman" w:hAnsi="Times New Roman"/>
                <w:color w:val="EE0000"/>
                <w:sz w:val="20"/>
                <w:szCs w:val="20"/>
              </w:rPr>
              <w:t>atsisakant smukesnių temų</w:t>
            </w:r>
            <w:r w:rsidR="007779E5" w:rsidRPr="53A0FD1C">
              <w:rPr>
                <w:rFonts w:ascii="Times New Roman" w:hAnsi="Times New Roman"/>
                <w:color w:val="EE0000"/>
                <w:sz w:val="20"/>
                <w:szCs w:val="20"/>
              </w:rPr>
              <w:t xml:space="preserve">, </w:t>
            </w:r>
            <w:r w:rsidR="00D74C43" w:rsidRPr="53A0FD1C">
              <w:rPr>
                <w:rFonts w:ascii="Times New Roman" w:hAnsi="Times New Roman"/>
                <w:color w:val="EE0000"/>
                <w:sz w:val="20"/>
                <w:szCs w:val="20"/>
              </w:rPr>
              <w:t>Į</w:t>
            </w:r>
            <w:r w:rsidR="00AD3D79" w:rsidRPr="53A0FD1C">
              <w:rPr>
                <w:rFonts w:ascii="Times New Roman" w:hAnsi="Times New Roman"/>
                <w:color w:val="EE0000"/>
                <w:sz w:val="20"/>
                <w:szCs w:val="20"/>
              </w:rPr>
              <w:t>vard</w:t>
            </w:r>
            <w:r w:rsidR="0089227D" w:rsidRPr="53A0FD1C">
              <w:rPr>
                <w:rFonts w:ascii="Times New Roman" w:hAnsi="Times New Roman"/>
                <w:color w:val="EE0000"/>
                <w:sz w:val="20"/>
                <w:szCs w:val="20"/>
              </w:rPr>
              <w:t>ija</w:t>
            </w:r>
            <w:r w:rsidR="00A11A9F" w:rsidRPr="53A0FD1C">
              <w:rPr>
                <w:rFonts w:ascii="Times New Roman" w:hAnsi="Times New Roman"/>
                <w:color w:val="EE0000"/>
                <w:sz w:val="20"/>
                <w:szCs w:val="20"/>
              </w:rPr>
              <w:t>nt</w:t>
            </w:r>
            <w:r w:rsidR="009C17BB" w:rsidRPr="53A0FD1C">
              <w:rPr>
                <w:rFonts w:ascii="Times New Roman" w:hAnsi="Times New Roman"/>
                <w:color w:val="EE0000"/>
                <w:sz w:val="20"/>
                <w:szCs w:val="20"/>
              </w:rPr>
              <w:t xml:space="preserve"> t</w:t>
            </w:r>
            <w:r w:rsidR="00A14179" w:rsidRPr="53A0FD1C">
              <w:rPr>
                <w:rFonts w:ascii="Times New Roman" w:hAnsi="Times New Roman"/>
                <w:color w:val="EE0000"/>
                <w:sz w:val="20"/>
                <w:szCs w:val="20"/>
              </w:rPr>
              <w:t>ik</w:t>
            </w:r>
            <w:r w:rsidR="00521F8D" w:rsidRPr="53A0FD1C">
              <w:rPr>
                <w:rFonts w:ascii="Times New Roman" w:hAnsi="Times New Roman"/>
                <w:color w:val="EE0000"/>
                <w:sz w:val="20"/>
                <w:szCs w:val="20"/>
              </w:rPr>
              <w:t>s</w:t>
            </w:r>
            <w:r w:rsidR="0024539E" w:rsidRPr="53A0FD1C">
              <w:rPr>
                <w:rFonts w:ascii="Times New Roman" w:hAnsi="Times New Roman"/>
                <w:color w:val="EE0000"/>
                <w:sz w:val="20"/>
                <w:szCs w:val="20"/>
              </w:rPr>
              <w:t>lus.</w:t>
            </w:r>
          </w:p>
          <w:p w14:paraId="4BA4F400" w14:textId="7614B58F" w:rsidR="002724AB" w:rsidRPr="000E64D6" w:rsidRDefault="68D196E3" w:rsidP="0067165D">
            <w:pPr>
              <w:jc w:val="both"/>
              <w:rPr>
                <w:rFonts w:ascii="Times New Roman" w:eastAsia="Times New Roman" w:hAnsi="Times New Roman"/>
                <w:b/>
                <w:bCs/>
                <w:sz w:val="20"/>
                <w:szCs w:val="20"/>
              </w:rPr>
            </w:pPr>
            <w:proofErr w:type="spellStart"/>
            <w:r w:rsidRPr="27A02073">
              <w:rPr>
                <w:rFonts w:ascii="Times New Roman" w:eastAsia="Times New Roman" w:hAnsi="Times New Roman"/>
                <w:b/>
                <w:bCs/>
                <w:sz w:val="20"/>
                <w:szCs w:val="20"/>
              </w:rPr>
              <w:t>The</w:t>
            </w:r>
            <w:proofErr w:type="spellEnd"/>
            <w:r w:rsidRPr="27A02073">
              <w:rPr>
                <w:rFonts w:ascii="Times New Roman" w:eastAsia="Times New Roman" w:hAnsi="Times New Roman"/>
                <w:b/>
                <w:bCs/>
                <w:sz w:val="20"/>
                <w:szCs w:val="20"/>
              </w:rPr>
              <w:t xml:space="preserve"> </w:t>
            </w:r>
            <w:proofErr w:type="spellStart"/>
            <w:r w:rsidRPr="27A02073">
              <w:rPr>
                <w:rFonts w:ascii="Times New Roman" w:eastAsia="Times New Roman" w:hAnsi="Times New Roman"/>
                <w:b/>
                <w:bCs/>
                <w:sz w:val="20"/>
                <w:szCs w:val="20"/>
              </w:rPr>
              <w:t>seminar</w:t>
            </w:r>
            <w:proofErr w:type="spellEnd"/>
            <w:r w:rsidRPr="27A02073">
              <w:rPr>
                <w:rFonts w:ascii="Times New Roman" w:eastAsia="Times New Roman" w:hAnsi="Times New Roman"/>
                <w:b/>
                <w:bCs/>
                <w:sz w:val="20"/>
                <w:szCs w:val="20"/>
              </w:rPr>
              <w:t xml:space="preserve"> </w:t>
            </w:r>
            <w:proofErr w:type="spellStart"/>
            <w:r w:rsidRPr="27A02073">
              <w:rPr>
                <w:rFonts w:ascii="Times New Roman" w:eastAsia="Times New Roman" w:hAnsi="Times New Roman"/>
                <w:b/>
                <w:bCs/>
                <w:sz w:val="20"/>
                <w:szCs w:val="20"/>
              </w:rPr>
              <w:t>content</w:t>
            </w:r>
            <w:proofErr w:type="spellEnd"/>
            <w:r w:rsidRPr="27A02073">
              <w:rPr>
                <w:rFonts w:ascii="Times New Roman" w:eastAsia="Times New Roman" w:hAnsi="Times New Roman"/>
                <w:b/>
                <w:bCs/>
                <w:sz w:val="20"/>
                <w:szCs w:val="20"/>
              </w:rPr>
              <w:t xml:space="preserve"> </w:t>
            </w:r>
            <w:proofErr w:type="spellStart"/>
            <w:r w:rsidRPr="27A02073">
              <w:rPr>
                <w:rFonts w:ascii="Times New Roman" w:eastAsia="Times New Roman" w:hAnsi="Times New Roman"/>
                <w:b/>
                <w:bCs/>
                <w:sz w:val="20"/>
                <w:szCs w:val="20"/>
              </w:rPr>
              <w:t>has</w:t>
            </w:r>
            <w:proofErr w:type="spellEnd"/>
            <w:r w:rsidRPr="27A02073">
              <w:rPr>
                <w:rFonts w:ascii="Times New Roman" w:eastAsia="Times New Roman" w:hAnsi="Times New Roman"/>
                <w:b/>
                <w:bCs/>
                <w:sz w:val="20"/>
                <w:szCs w:val="20"/>
              </w:rPr>
              <w:t xml:space="preserve"> </w:t>
            </w:r>
            <w:proofErr w:type="spellStart"/>
            <w:r w:rsidRPr="27A02073">
              <w:rPr>
                <w:rFonts w:ascii="Times New Roman" w:eastAsia="Times New Roman" w:hAnsi="Times New Roman"/>
                <w:b/>
                <w:bCs/>
                <w:sz w:val="20"/>
                <w:szCs w:val="20"/>
              </w:rPr>
              <w:t>been</w:t>
            </w:r>
            <w:proofErr w:type="spellEnd"/>
            <w:r w:rsidRPr="27A02073">
              <w:rPr>
                <w:rFonts w:ascii="Times New Roman" w:eastAsia="Times New Roman" w:hAnsi="Times New Roman"/>
                <w:b/>
                <w:bCs/>
                <w:sz w:val="20"/>
                <w:szCs w:val="20"/>
              </w:rPr>
              <w:t xml:space="preserve"> </w:t>
            </w:r>
            <w:proofErr w:type="spellStart"/>
            <w:r w:rsidRPr="27A02073">
              <w:rPr>
                <w:rFonts w:ascii="Times New Roman" w:eastAsia="Times New Roman" w:hAnsi="Times New Roman"/>
                <w:b/>
                <w:bCs/>
                <w:sz w:val="20"/>
                <w:szCs w:val="20"/>
              </w:rPr>
              <w:t>revised</w:t>
            </w:r>
            <w:proofErr w:type="spellEnd"/>
            <w:r w:rsidRPr="27A02073">
              <w:rPr>
                <w:rFonts w:ascii="Times New Roman" w:eastAsia="Times New Roman" w:hAnsi="Times New Roman"/>
                <w:b/>
                <w:bCs/>
                <w:sz w:val="20"/>
                <w:szCs w:val="20"/>
              </w:rPr>
              <w:t xml:space="preserve"> </w:t>
            </w:r>
            <w:proofErr w:type="spellStart"/>
            <w:r w:rsidRPr="27A02073">
              <w:rPr>
                <w:rFonts w:ascii="Times New Roman" w:eastAsia="Times New Roman" w:hAnsi="Times New Roman"/>
                <w:b/>
                <w:bCs/>
                <w:sz w:val="20"/>
                <w:szCs w:val="20"/>
              </w:rPr>
              <w:t>by</w:t>
            </w:r>
            <w:proofErr w:type="spellEnd"/>
            <w:r w:rsidRPr="27A02073">
              <w:rPr>
                <w:rFonts w:ascii="Times New Roman" w:eastAsia="Times New Roman" w:hAnsi="Times New Roman"/>
                <w:b/>
                <w:bCs/>
                <w:sz w:val="20"/>
                <w:szCs w:val="20"/>
              </w:rPr>
              <w:t xml:space="preserve"> </w:t>
            </w:r>
            <w:proofErr w:type="spellStart"/>
            <w:r w:rsidRPr="27A02073">
              <w:rPr>
                <w:rFonts w:ascii="Times New Roman" w:eastAsia="Times New Roman" w:hAnsi="Times New Roman"/>
                <w:b/>
                <w:bCs/>
                <w:sz w:val="20"/>
                <w:szCs w:val="20"/>
              </w:rPr>
              <w:t>removing</w:t>
            </w:r>
            <w:proofErr w:type="spellEnd"/>
            <w:r w:rsidRPr="27A02073">
              <w:rPr>
                <w:rFonts w:ascii="Times New Roman" w:eastAsia="Times New Roman" w:hAnsi="Times New Roman"/>
                <w:b/>
                <w:bCs/>
                <w:sz w:val="20"/>
                <w:szCs w:val="20"/>
              </w:rPr>
              <w:t xml:space="preserve"> </w:t>
            </w:r>
            <w:proofErr w:type="spellStart"/>
            <w:r w:rsidRPr="27A02073">
              <w:rPr>
                <w:rFonts w:ascii="Times New Roman" w:eastAsia="Times New Roman" w:hAnsi="Times New Roman"/>
                <w:b/>
                <w:bCs/>
                <w:sz w:val="20"/>
                <w:szCs w:val="20"/>
              </w:rPr>
              <w:t>overlapping</w:t>
            </w:r>
            <w:proofErr w:type="spellEnd"/>
            <w:r w:rsidRPr="27A02073">
              <w:rPr>
                <w:rFonts w:ascii="Times New Roman" w:eastAsia="Times New Roman" w:hAnsi="Times New Roman"/>
                <w:b/>
                <w:bCs/>
                <w:sz w:val="20"/>
                <w:szCs w:val="20"/>
              </w:rPr>
              <w:t xml:space="preserve"> </w:t>
            </w:r>
            <w:proofErr w:type="spellStart"/>
            <w:r w:rsidRPr="27A02073">
              <w:rPr>
                <w:rFonts w:ascii="Times New Roman" w:eastAsia="Times New Roman" w:hAnsi="Times New Roman"/>
                <w:b/>
                <w:bCs/>
                <w:sz w:val="20"/>
                <w:szCs w:val="20"/>
              </w:rPr>
              <w:t>topics</w:t>
            </w:r>
            <w:proofErr w:type="spellEnd"/>
            <w:r w:rsidRPr="27A02073">
              <w:rPr>
                <w:rFonts w:ascii="Times New Roman" w:eastAsia="Times New Roman" w:hAnsi="Times New Roman"/>
                <w:b/>
                <w:bCs/>
                <w:sz w:val="20"/>
                <w:szCs w:val="20"/>
              </w:rPr>
              <w:t xml:space="preserve">, </w:t>
            </w:r>
            <w:proofErr w:type="spellStart"/>
            <w:r w:rsidRPr="27A02073">
              <w:rPr>
                <w:rFonts w:ascii="Times New Roman" w:eastAsia="Times New Roman" w:hAnsi="Times New Roman"/>
                <w:b/>
                <w:bCs/>
                <w:sz w:val="20"/>
                <w:szCs w:val="20"/>
              </w:rPr>
              <w:t>eliminating</w:t>
            </w:r>
            <w:proofErr w:type="spellEnd"/>
            <w:r w:rsidRPr="27A02073">
              <w:rPr>
                <w:rFonts w:ascii="Times New Roman" w:eastAsia="Times New Roman" w:hAnsi="Times New Roman"/>
                <w:b/>
                <w:bCs/>
                <w:sz w:val="20"/>
                <w:szCs w:val="20"/>
              </w:rPr>
              <w:t xml:space="preserve"> </w:t>
            </w:r>
            <w:proofErr w:type="spellStart"/>
            <w:r w:rsidRPr="27A02073">
              <w:rPr>
                <w:rFonts w:ascii="Times New Roman" w:eastAsia="Times New Roman" w:hAnsi="Times New Roman"/>
                <w:b/>
                <w:bCs/>
                <w:sz w:val="20"/>
                <w:szCs w:val="20"/>
              </w:rPr>
              <w:t>less</w:t>
            </w:r>
            <w:proofErr w:type="spellEnd"/>
            <w:r w:rsidRPr="27A02073">
              <w:rPr>
                <w:rFonts w:ascii="Times New Roman" w:eastAsia="Times New Roman" w:hAnsi="Times New Roman"/>
                <w:b/>
                <w:bCs/>
                <w:sz w:val="20"/>
                <w:szCs w:val="20"/>
              </w:rPr>
              <w:t xml:space="preserve"> </w:t>
            </w:r>
            <w:proofErr w:type="spellStart"/>
            <w:r w:rsidRPr="27A02073">
              <w:rPr>
                <w:rFonts w:ascii="Times New Roman" w:eastAsia="Times New Roman" w:hAnsi="Times New Roman"/>
                <w:b/>
                <w:bCs/>
                <w:sz w:val="20"/>
                <w:szCs w:val="20"/>
              </w:rPr>
              <w:t>relevant</w:t>
            </w:r>
            <w:proofErr w:type="spellEnd"/>
            <w:r w:rsidRPr="27A02073">
              <w:rPr>
                <w:rFonts w:ascii="Times New Roman" w:eastAsia="Times New Roman" w:hAnsi="Times New Roman"/>
                <w:b/>
                <w:bCs/>
                <w:sz w:val="20"/>
                <w:szCs w:val="20"/>
              </w:rPr>
              <w:t xml:space="preserve"> </w:t>
            </w:r>
            <w:proofErr w:type="spellStart"/>
            <w:r w:rsidRPr="27A02073">
              <w:rPr>
                <w:rFonts w:ascii="Times New Roman" w:eastAsia="Times New Roman" w:hAnsi="Times New Roman"/>
                <w:b/>
                <w:bCs/>
                <w:sz w:val="20"/>
                <w:szCs w:val="20"/>
              </w:rPr>
              <w:t>subjects</w:t>
            </w:r>
            <w:proofErr w:type="spellEnd"/>
            <w:r w:rsidRPr="27A02073">
              <w:rPr>
                <w:rFonts w:ascii="Times New Roman" w:eastAsia="Times New Roman" w:hAnsi="Times New Roman"/>
                <w:b/>
                <w:bCs/>
                <w:sz w:val="20"/>
                <w:szCs w:val="20"/>
              </w:rPr>
              <w:t xml:space="preserve">, </w:t>
            </w:r>
            <w:proofErr w:type="spellStart"/>
            <w:r w:rsidRPr="27A02073">
              <w:rPr>
                <w:rFonts w:ascii="Times New Roman" w:eastAsia="Times New Roman" w:hAnsi="Times New Roman"/>
                <w:b/>
                <w:bCs/>
                <w:sz w:val="20"/>
                <w:szCs w:val="20"/>
              </w:rPr>
              <w:t>and</w:t>
            </w:r>
            <w:proofErr w:type="spellEnd"/>
            <w:r w:rsidRPr="27A02073">
              <w:rPr>
                <w:rFonts w:ascii="Times New Roman" w:eastAsia="Times New Roman" w:hAnsi="Times New Roman"/>
                <w:b/>
                <w:bCs/>
                <w:sz w:val="20"/>
                <w:szCs w:val="20"/>
              </w:rPr>
              <w:t xml:space="preserve"> </w:t>
            </w:r>
            <w:proofErr w:type="spellStart"/>
            <w:r w:rsidRPr="27A02073">
              <w:rPr>
                <w:rFonts w:ascii="Times New Roman" w:eastAsia="Times New Roman" w:hAnsi="Times New Roman"/>
                <w:b/>
                <w:bCs/>
                <w:sz w:val="20"/>
                <w:szCs w:val="20"/>
              </w:rPr>
              <w:t>clearly</w:t>
            </w:r>
            <w:proofErr w:type="spellEnd"/>
            <w:r w:rsidRPr="27A02073">
              <w:rPr>
                <w:rFonts w:ascii="Times New Roman" w:eastAsia="Times New Roman" w:hAnsi="Times New Roman"/>
                <w:b/>
                <w:bCs/>
                <w:sz w:val="20"/>
                <w:szCs w:val="20"/>
              </w:rPr>
              <w:t xml:space="preserve"> </w:t>
            </w:r>
            <w:proofErr w:type="spellStart"/>
            <w:r w:rsidRPr="27A02073">
              <w:rPr>
                <w:rFonts w:ascii="Times New Roman" w:eastAsia="Times New Roman" w:hAnsi="Times New Roman"/>
                <w:b/>
                <w:bCs/>
                <w:sz w:val="20"/>
                <w:szCs w:val="20"/>
              </w:rPr>
              <w:t>defining</w:t>
            </w:r>
            <w:proofErr w:type="spellEnd"/>
            <w:r w:rsidRPr="27A02073">
              <w:rPr>
                <w:rFonts w:ascii="Times New Roman" w:eastAsia="Times New Roman" w:hAnsi="Times New Roman"/>
                <w:b/>
                <w:bCs/>
                <w:sz w:val="20"/>
                <w:szCs w:val="20"/>
              </w:rPr>
              <w:t xml:space="preserve"> </w:t>
            </w:r>
            <w:proofErr w:type="spellStart"/>
            <w:r w:rsidRPr="27A02073">
              <w:rPr>
                <w:rFonts w:ascii="Times New Roman" w:eastAsia="Times New Roman" w:hAnsi="Times New Roman"/>
                <w:b/>
                <w:bCs/>
                <w:sz w:val="20"/>
                <w:szCs w:val="20"/>
              </w:rPr>
              <w:t>the</w:t>
            </w:r>
            <w:proofErr w:type="spellEnd"/>
            <w:r w:rsidRPr="27A02073">
              <w:rPr>
                <w:rFonts w:ascii="Times New Roman" w:eastAsia="Times New Roman" w:hAnsi="Times New Roman"/>
                <w:b/>
                <w:bCs/>
                <w:sz w:val="20"/>
                <w:szCs w:val="20"/>
              </w:rPr>
              <w:t xml:space="preserve"> </w:t>
            </w:r>
            <w:proofErr w:type="spellStart"/>
            <w:r w:rsidRPr="27A02073">
              <w:rPr>
                <w:rFonts w:ascii="Times New Roman" w:eastAsia="Times New Roman" w:hAnsi="Times New Roman"/>
                <w:b/>
                <w:bCs/>
                <w:sz w:val="20"/>
                <w:szCs w:val="20"/>
              </w:rPr>
              <w:t>objectives</w:t>
            </w:r>
            <w:proofErr w:type="spellEnd"/>
            <w:r w:rsidR="00FD36BA">
              <w:rPr>
                <w:rFonts w:ascii="Times New Roman" w:eastAsia="Times New Roman" w:hAnsi="Times New Roman"/>
                <w:b/>
                <w:bCs/>
                <w:sz w:val="20"/>
                <w:szCs w:val="20"/>
              </w:rPr>
              <w:t>.</w:t>
            </w:r>
          </w:p>
          <w:p w14:paraId="75C76592" w14:textId="77777777" w:rsidR="002724AB" w:rsidRPr="000E64D6" w:rsidRDefault="002724AB" w:rsidP="0067165D">
            <w:pPr>
              <w:jc w:val="both"/>
              <w:rPr>
                <w:rFonts w:ascii="Times New Roman" w:hAnsi="Times New Roman"/>
                <w:b/>
                <w:bCs/>
                <w:i/>
                <w:color w:val="EE0000"/>
                <w:sz w:val="20"/>
                <w:szCs w:val="20"/>
              </w:rPr>
            </w:pPr>
          </w:p>
        </w:tc>
      </w:tr>
      <w:tr w:rsidR="00424F47" w:rsidRPr="006F4F03" w14:paraId="72837577" w14:textId="77777777" w:rsidTr="00EA2B44">
        <w:trPr>
          <w:trHeight w:val="16"/>
        </w:trPr>
        <w:tc>
          <w:tcPr>
            <w:tcW w:w="0" w:type="auto"/>
            <w:vAlign w:val="center"/>
          </w:tcPr>
          <w:p w14:paraId="01DB0375" w14:textId="77777777" w:rsidR="00424F47" w:rsidRPr="00EA2B44" w:rsidRDefault="00424F47" w:rsidP="00424F47">
            <w:pPr>
              <w:pStyle w:val="Sraopastraipa"/>
              <w:tabs>
                <w:tab w:val="left" w:pos="0"/>
              </w:tabs>
              <w:spacing w:after="0" w:line="240" w:lineRule="auto"/>
              <w:ind w:left="0"/>
              <w:rPr>
                <w:rFonts w:ascii="Times New Roman" w:hAnsi="Times New Roman"/>
                <w:i/>
                <w:sz w:val="20"/>
                <w:szCs w:val="20"/>
              </w:rPr>
            </w:pPr>
          </w:p>
        </w:tc>
        <w:tc>
          <w:tcPr>
            <w:tcW w:w="3228" w:type="dxa"/>
            <w:vMerge/>
          </w:tcPr>
          <w:p w14:paraId="4A206077" w14:textId="77777777" w:rsidR="00424F47" w:rsidRPr="009C17BB" w:rsidRDefault="00424F47" w:rsidP="005B1108">
            <w:pPr>
              <w:jc w:val="both"/>
              <w:rPr>
                <w:rFonts w:ascii="Times New Roman" w:hAnsi="Times New Roman"/>
                <w:iCs/>
                <w:sz w:val="20"/>
                <w:szCs w:val="20"/>
              </w:rPr>
            </w:pPr>
          </w:p>
        </w:tc>
        <w:tc>
          <w:tcPr>
            <w:tcW w:w="3148" w:type="dxa"/>
          </w:tcPr>
          <w:p w14:paraId="5721A194" w14:textId="1E5C74A7" w:rsidR="00424F47" w:rsidRPr="00EA2B44" w:rsidRDefault="00424F47" w:rsidP="005B1108">
            <w:pPr>
              <w:jc w:val="both"/>
              <w:rPr>
                <w:rFonts w:ascii="Times New Roman" w:hAnsi="Times New Roman"/>
                <w:i/>
                <w:sz w:val="20"/>
                <w:szCs w:val="20"/>
                <w:lang w:val="en-US"/>
              </w:rPr>
            </w:pPr>
            <w:proofErr w:type="spellStart"/>
            <w:r w:rsidRPr="00EA2B44">
              <w:rPr>
                <w:rFonts w:ascii="Times New Roman" w:hAnsi="Times New Roman"/>
                <w:i/>
                <w:sz w:val="20"/>
                <w:szCs w:val="20"/>
              </w:rPr>
              <w:t>The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part</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Seminar</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content</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is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marked</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as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Appendix</w:t>
            </w:r>
            <w:proofErr w:type="spellEnd"/>
            <w:r w:rsidRPr="00EA2B44">
              <w:rPr>
                <w:rFonts w:ascii="Times New Roman" w:hAnsi="Times New Roman"/>
                <w:i/>
                <w:sz w:val="20"/>
                <w:szCs w:val="20"/>
              </w:rPr>
              <w:t xml:space="preserve"> 2. </w:t>
            </w:r>
            <w:proofErr w:type="spellStart"/>
            <w:r w:rsidRPr="00EA2B44">
              <w:rPr>
                <w:rFonts w:ascii="Times New Roman" w:hAnsi="Times New Roman"/>
                <w:i/>
                <w:sz w:val="20"/>
                <w:szCs w:val="20"/>
              </w:rPr>
              <w:t>Is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there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an</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Appendix</w:t>
            </w:r>
            <w:proofErr w:type="spellEnd"/>
            <w:r w:rsidRPr="00EA2B44">
              <w:rPr>
                <w:rFonts w:ascii="Times New Roman" w:hAnsi="Times New Roman"/>
                <w:i/>
                <w:sz w:val="20"/>
                <w:szCs w:val="20"/>
              </w:rPr>
              <w:t xml:space="preserve"> 1?</w:t>
            </w:r>
          </w:p>
        </w:tc>
        <w:tc>
          <w:tcPr>
            <w:tcW w:w="3465" w:type="dxa"/>
          </w:tcPr>
          <w:p w14:paraId="40408E45" w14:textId="7CB58354" w:rsidR="00424F47" w:rsidRPr="00EA2B44" w:rsidRDefault="00424F47" w:rsidP="0067165D">
            <w:pPr>
              <w:jc w:val="both"/>
              <w:rPr>
                <w:rFonts w:ascii="Times New Roman" w:hAnsi="Times New Roman"/>
                <w:b/>
                <w:bCs/>
                <w:i/>
                <w:sz w:val="20"/>
                <w:szCs w:val="20"/>
              </w:rPr>
            </w:pPr>
            <w:r w:rsidRPr="0067165D">
              <w:rPr>
                <w:rFonts w:ascii="Times New Roman" w:hAnsi="Times New Roman"/>
                <w:b/>
                <w:bCs/>
                <w:i/>
                <w:sz w:val="20"/>
                <w:szCs w:val="20"/>
              </w:rPr>
              <w:t>Pastaba dėl priedo „Seminarų turinys“ (Priedas Nr. 2):</w:t>
            </w:r>
            <w:r w:rsidRPr="0067165D">
              <w:rPr>
                <w:rFonts w:ascii="Times New Roman" w:hAnsi="Times New Roman"/>
                <w:i/>
                <w:sz w:val="20"/>
                <w:szCs w:val="20"/>
              </w:rPr>
              <w:br/>
              <w:t>Ar yra Priedas Nr. 1?</w:t>
            </w:r>
          </w:p>
        </w:tc>
        <w:tc>
          <w:tcPr>
            <w:tcW w:w="3650" w:type="dxa"/>
          </w:tcPr>
          <w:p w14:paraId="4F88EEE5" w14:textId="64BA4485" w:rsidR="00424F47" w:rsidRPr="000E64D6" w:rsidRDefault="00307BE3" w:rsidP="52838F7F">
            <w:pPr>
              <w:jc w:val="both"/>
              <w:rPr>
                <w:rFonts w:ascii="Times New Roman" w:hAnsi="Times New Roman"/>
                <w:color w:val="EE0000"/>
                <w:sz w:val="20"/>
                <w:szCs w:val="20"/>
              </w:rPr>
            </w:pPr>
            <w:r w:rsidRPr="52838F7F">
              <w:rPr>
                <w:rFonts w:ascii="Times New Roman" w:hAnsi="Times New Roman"/>
                <w:color w:val="EE0000"/>
                <w:sz w:val="20"/>
                <w:szCs w:val="20"/>
              </w:rPr>
              <w:t>N</w:t>
            </w:r>
            <w:r w:rsidR="00AB023E" w:rsidRPr="52838F7F">
              <w:rPr>
                <w:rFonts w:ascii="Times New Roman" w:hAnsi="Times New Roman"/>
                <w:color w:val="EE0000"/>
                <w:sz w:val="20"/>
                <w:szCs w:val="20"/>
              </w:rPr>
              <w:t>ėra</w:t>
            </w:r>
            <w:r w:rsidR="00D03428" w:rsidRPr="52838F7F">
              <w:rPr>
                <w:rFonts w:ascii="Times New Roman" w:hAnsi="Times New Roman"/>
                <w:color w:val="EE0000"/>
                <w:sz w:val="20"/>
                <w:szCs w:val="20"/>
              </w:rPr>
              <w:t>. Technine specifikacija kaip dokumentas yra viso pirkimo dokumentų paketo 2 priedas</w:t>
            </w:r>
          </w:p>
          <w:p w14:paraId="079ECF4D" w14:textId="62E436F1" w:rsidR="00424F47" w:rsidRPr="000E64D6" w:rsidRDefault="2EE6E03F" w:rsidP="0067165D">
            <w:pPr>
              <w:jc w:val="both"/>
              <w:rPr>
                <w:rFonts w:ascii="Times New Roman" w:eastAsia="Times New Roman" w:hAnsi="Times New Roman"/>
                <w:b/>
                <w:bCs/>
                <w:sz w:val="20"/>
                <w:szCs w:val="20"/>
              </w:rPr>
            </w:pPr>
            <w:proofErr w:type="spellStart"/>
            <w:r w:rsidRPr="13776823">
              <w:rPr>
                <w:rFonts w:ascii="Times New Roman" w:eastAsia="Times New Roman" w:hAnsi="Times New Roman"/>
                <w:b/>
                <w:bCs/>
                <w:sz w:val="20"/>
                <w:szCs w:val="20"/>
              </w:rPr>
              <w:t>No</w:t>
            </w:r>
            <w:proofErr w:type="spellEnd"/>
            <w:r w:rsidRPr="13776823">
              <w:rPr>
                <w:rFonts w:ascii="Times New Roman" w:eastAsia="Times New Roman" w:hAnsi="Times New Roman"/>
                <w:b/>
                <w:bCs/>
                <w:sz w:val="20"/>
                <w:szCs w:val="20"/>
              </w:rPr>
              <w:t xml:space="preserve">. </w:t>
            </w:r>
            <w:proofErr w:type="spellStart"/>
            <w:r w:rsidRPr="13776823">
              <w:rPr>
                <w:rFonts w:ascii="Times New Roman" w:eastAsia="Times New Roman" w:hAnsi="Times New Roman"/>
                <w:b/>
                <w:bCs/>
                <w:sz w:val="20"/>
                <w:szCs w:val="20"/>
              </w:rPr>
              <w:t>The</w:t>
            </w:r>
            <w:proofErr w:type="spellEnd"/>
            <w:r w:rsidRPr="13776823">
              <w:rPr>
                <w:rFonts w:ascii="Times New Roman" w:eastAsia="Times New Roman" w:hAnsi="Times New Roman"/>
                <w:b/>
                <w:bCs/>
                <w:sz w:val="20"/>
                <w:szCs w:val="20"/>
              </w:rPr>
              <w:t xml:space="preserve"> </w:t>
            </w:r>
            <w:proofErr w:type="spellStart"/>
            <w:r w:rsidRPr="13776823">
              <w:rPr>
                <w:rFonts w:ascii="Times New Roman" w:eastAsia="Times New Roman" w:hAnsi="Times New Roman"/>
                <w:b/>
                <w:bCs/>
                <w:sz w:val="20"/>
                <w:szCs w:val="20"/>
              </w:rPr>
              <w:t>technical</w:t>
            </w:r>
            <w:proofErr w:type="spellEnd"/>
            <w:r w:rsidRPr="13776823">
              <w:rPr>
                <w:rFonts w:ascii="Times New Roman" w:eastAsia="Times New Roman" w:hAnsi="Times New Roman"/>
                <w:b/>
                <w:bCs/>
                <w:sz w:val="20"/>
                <w:szCs w:val="20"/>
              </w:rPr>
              <w:t xml:space="preserve"> </w:t>
            </w:r>
            <w:proofErr w:type="spellStart"/>
            <w:r w:rsidRPr="13776823">
              <w:rPr>
                <w:rFonts w:ascii="Times New Roman" w:eastAsia="Times New Roman" w:hAnsi="Times New Roman"/>
                <w:b/>
                <w:bCs/>
                <w:sz w:val="20"/>
                <w:szCs w:val="20"/>
              </w:rPr>
              <w:t>specification</w:t>
            </w:r>
            <w:proofErr w:type="spellEnd"/>
            <w:r w:rsidRPr="13776823">
              <w:rPr>
                <w:rFonts w:ascii="Times New Roman" w:eastAsia="Times New Roman" w:hAnsi="Times New Roman"/>
                <w:b/>
                <w:bCs/>
                <w:sz w:val="20"/>
                <w:szCs w:val="20"/>
              </w:rPr>
              <w:t xml:space="preserve">, </w:t>
            </w:r>
            <w:proofErr w:type="spellStart"/>
            <w:r w:rsidRPr="13776823">
              <w:rPr>
                <w:rFonts w:ascii="Times New Roman" w:eastAsia="Times New Roman" w:hAnsi="Times New Roman"/>
                <w:b/>
                <w:bCs/>
                <w:sz w:val="20"/>
                <w:szCs w:val="20"/>
              </w:rPr>
              <w:t>as</w:t>
            </w:r>
            <w:proofErr w:type="spellEnd"/>
            <w:r w:rsidRPr="13776823">
              <w:rPr>
                <w:rFonts w:ascii="Times New Roman" w:eastAsia="Times New Roman" w:hAnsi="Times New Roman"/>
                <w:b/>
                <w:bCs/>
                <w:sz w:val="20"/>
                <w:szCs w:val="20"/>
              </w:rPr>
              <w:t xml:space="preserve"> a </w:t>
            </w:r>
            <w:proofErr w:type="spellStart"/>
            <w:r w:rsidRPr="13776823">
              <w:rPr>
                <w:rFonts w:ascii="Times New Roman" w:eastAsia="Times New Roman" w:hAnsi="Times New Roman"/>
                <w:b/>
                <w:bCs/>
                <w:sz w:val="20"/>
                <w:szCs w:val="20"/>
              </w:rPr>
              <w:t>document</w:t>
            </w:r>
            <w:proofErr w:type="spellEnd"/>
            <w:r w:rsidRPr="13776823">
              <w:rPr>
                <w:rFonts w:ascii="Times New Roman" w:eastAsia="Times New Roman" w:hAnsi="Times New Roman"/>
                <w:b/>
                <w:bCs/>
                <w:sz w:val="20"/>
                <w:szCs w:val="20"/>
              </w:rPr>
              <w:t xml:space="preserve">, </w:t>
            </w:r>
            <w:proofErr w:type="spellStart"/>
            <w:r w:rsidRPr="13776823">
              <w:rPr>
                <w:rFonts w:ascii="Times New Roman" w:eastAsia="Times New Roman" w:hAnsi="Times New Roman"/>
                <w:b/>
                <w:bCs/>
                <w:sz w:val="20"/>
                <w:szCs w:val="20"/>
              </w:rPr>
              <w:t>constitutes</w:t>
            </w:r>
            <w:proofErr w:type="spellEnd"/>
            <w:r w:rsidRPr="13776823">
              <w:rPr>
                <w:rFonts w:ascii="Times New Roman" w:eastAsia="Times New Roman" w:hAnsi="Times New Roman"/>
                <w:b/>
                <w:bCs/>
                <w:sz w:val="20"/>
                <w:szCs w:val="20"/>
              </w:rPr>
              <w:t xml:space="preserve"> </w:t>
            </w:r>
            <w:proofErr w:type="spellStart"/>
            <w:r w:rsidRPr="13776823">
              <w:rPr>
                <w:rFonts w:ascii="Times New Roman" w:eastAsia="Times New Roman" w:hAnsi="Times New Roman"/>
                <w:b/>
                <w:bCs/>
                <w:sz w:val="20"/>
                <w:szCs w:val="20"/>
              </w:rPr>
              <w:t>Annex</w:t>
            </w:r>
            <w:proofErr w:type="spellEnd"/>
            <w:r w:rsidRPr="13776823">
              <w:rPr>
                <w:rFonts w:ascii="Times New Roman" w:eastAsia="Times New Roman" w:hAnsi="Times New Roman"/>
                <w:b/>
                <w:bCs/>
                <w:sz w:val="20"/>
                <w:szCs w:val="20"/>
              </w:rPr>
              <w:t xml:space="preserve"> </w:t>
            </w:r>
            <w:proofErr w:type="spellStart"/>
            <w:r w:rsidRPr="13776823">
              <w:rPr>
                <w:rFonts w:ascii="Times New Roman" w:eastAsia="Times New Roman" w:hAnsi="Times New Roman"/>
                <w:b/>
                <w:bCs/>
                <w:sz w:val="20"/>
                <w:szCs w:val="20"/>
              </w:rPr>
              <w:t>No</w:t>
            </w:r>
            <w:proofErr w:type="spellEnd"/>
            <w:r w:rsidRPr="13776823">
              <w:rPr>
                <w:rFonts w:ascii="Times New Roman" w:eastAsia="Times New Roman" w:hAnsi="Times New Roman"/>
                <w:b/>
                <w:bCs/>
                <w:sz w:val="20"/>
                <w:szCs w:val="20"/>
              </w:rPr>
              <w:t xml:space="preserve">. 2 </w:t>
            </w:r>
            <w:proofErr w:type="spellStart"/>
            <w:r w:rsidRPr="13776823">
              <w:rPr>
                <w:rFonts w:ascii="Times New Roman" w:eastAsia="Times New Roman" w:hAnsi="Times New Roman"/>
                <w:b/>
                <w:bCs/>
                <w:sz w:val="20"/>
                <w:szCs w:val="20"/>
              </w:rPr>
              <w:t>of</w:t>
            </w:r>
            <w:proofErr w:type="spellEnd"/>
            <w:r w:rsidRPr="13776823">
              <w:rPr>
                <w:rFonts w:ascii="Times New Roman" w:eastAsia="Times New Roman" w:hAnsi="Times New Roman"/>
                <w:b/>
                <w:bCs/>
                <w:sz w:val="20"/>
                <w:szCs w:val="20"/>
              </w:rPr>
              <w:t xml:space="preserve"> </w:t>
            </w:r>
            <w:proofErr w:type="spellStart"/>
            <w:r w:rsidRPr="13776823">
              <w:rPr>
                <w:rFonts w:ascii="Times New Roman" w:eastAsia="Times New Roman" w:hAnsi="Times New Roman"/>
                <w:b/>
                <w:bCs/>
                <w:sz w:val="20"/>
                <w:szCs w:val="20"/>
              </w:rPr>
              <w:t>the</w:t>
            </w:r>
            <w:proofErr w:type="spellEnd"/>
            <w:r w:rsidRPr="13776823">
              <w:rPr>
                <w:rFonts w:ascii="Times New Roman" w:eastAsia="Times New Roman" w:hAnsi="Times New Roman"/>
                <w:b/>
                <w:bCs/>
                <w:sz w:val="20"/>
                <w:szCs w:val="20"/>
              </w:rPr>
              <w:t xml:space="preserve"> </w:t>
            </w:r>
            <w:proofErr w:type="spellStart"/>
            <w:r w:rsidRPr="13776823">
              <w:rPr>
                <w:rFonts w:ascii="Times New Roman" w:eastAsia="Times New Roman" w:hAnsi="Times New Roman"/>
                <w:b/>
                <w:bCs/>
                <w:sz w:val="20"/>
                <w:szCs w:val="20"/>
              </w:rPr>
              <w:lastRenderedPageBreak/>
              <w:t>entire</w:t>
            </w:r>
            <w:proofErr w:type="spellEnd"/>
            <w:r w:rsidRPr="13776823">
              <w:rPr>
                <w:rFonts w:ascii="Times New Roman" w:eastAsia="Times New Roman" w:hAnsi="Times New Roman"/>
                <w:b/>
                <w:bCs/>
                <w:sz w:val="20"/>
                <w:szCs w:val="20"/>
              </w:rPr>
              <w:t xml:space="preserve"> </w:t>
            </w:r>
            <w:proofErr w:type="spellStart"/>
            <w:r w:rsidRPr="13776823">
              <w:rPr>
                <w:rFonts w:ascii="Times New Roman" w:eastAsia="Times New Roman" w:hAnsi="Times New Roman"/>
                <w:b/>
                <w:bCs/>
                <w:sz w:val="20"/>
                <w:szCs w:val="20"/>
              </w:rPr>
              <w:t>procurement</w:t>
            </w:r>
            <w:proofErr w:type="spellEnd"/>
            <w:r w:rsidRPr="13776823">
              <w:rPr>
                <w:rFonts w:ascii="Times New Roman" w:eastAsia="Times New Roman" w:hAnsi="Times New Roman"/>
                <w:b/>
                <w:bCs/>
                <w:sz w:val="20"/>
                <w:szCs w:val="20"/>
              </w:rPr>
              <w:t xml:space="preserve"> </w:t>
            </w:r>
            <w:proofErr w:type="spellStart"/>
            <w:r w:rsidRPr="13776823">
              <w:rPr>
                <w:rFonts w:ascii="Times New Roman" w:eastAsia="Times New Roman" w:hAnsi="Times New Roman"/>
                <w:b/>
                <w:bCs/>
                <w:sz w:val="20"/>
                <w:szCs w:val="20"/>
              </w:rPr>
              <w:t>documentation</w:t>
            </w:r>
            <w:proofErr w:type="spellEnd"/>
            <w:r w:rsidRPr="13776823">
              <w:rPr>
                <w:rFonts w:ascii="Times New Roman" w:eastAsia="Times New Roman" w:hAnsi="Times New Roman"/>
                <w:b/>
                <w:bCs/>
                <w:sz w:val="20"/>
                <w:szCs w:val="20"/>
              </w:rPr>
              <w:t xml:space="preserve"> </w:t>
            </w:r>
            <w:proofErr w:type="spellStart"/>
            <w:r w:rsidRPr="13776823">
              <w:rPr>
                <w:rFonts w:ascii="Times New Roman" w:eastAsia="Times New Roman" w:hAnsi="Times New Roman"/>
                <w:b/>
                <w:bCs/>
                <w:sz w:val="20"/>
                <w:szCs w:val="20"/>
              </w:rPr>
              <w:t>package</w:t>
            </w:r>
            <w:proofErr w:type="spellEnd"/>
            <w:r w:rsidRPr="13776823">
              <w:rPr>
                <w:rFonts w:ascii="Times New Roman" w:eastAsia="Times New Roman" w:hAnsi="Times New Roman"/>
                <w:b/>
                <w:bCs/>
                <w:sz w:val="20"/>
                <w:szCs w:val="20"/>
              </w:rPr>
              <w:t>.</w:t>
            </w:r>
          </w:p>
        </w:tc>
      </w:tr>
      <w:tr w:rsidR="00424F47" w:rsidRPr="003E1CA5" w14:paraId="5F2C8E7A" w14:textId="7D907C6F" w:rsidTr="00EA2B44">
        <w:trPr>
          <w:trHeight w:val="16"/>
        </w:trPr>
        <w:tc>
          <w:tcPr>
            <w:tcW w:w="0" w:type="auto"/>
            <w:vAlign w:val="center"/>
          </w:tcPr>
          <w:p w14:paraId="1068BBDD" w14:textId="77777777" w:rsidR="00424F47" w:rsidRPr="00EA2B44" w:rsidRDefault="00424F47" w:rsidP="0067165D">
            <w:pPr>
              <w:pStyle w:val="Sraopastraipa"/>
              <w:numPr>
                <w:ilvl w:val="0"/>
                <w:numId w:val="1"/>
              </w:numPr>
              <w:tabs>
                <w:tab w:val="left" w:pos="0"/>
              </w:tabs>
              <w:spacing w:after="0" w:line="240" w:lineRule="auto"/>
              <w:ind w:left="0" w:firstLine="0"/>
              <w:jc w:val="center"/>
              <w:rPr>
                <w:rFonts w:ascii="Times New Roman" w:hAnsi="Times New Roman"/>
                <w:i/>
                <w:sz w:val="20"/>
                <w:szCs w:val="20"/>
              </w:rPr>
            </w:pPr>
          </w:p>
        </w:tc>
        <w:tc>
          <w:tcPr>
            <w:tcW w:w="3228" w:type="dxa"/>
            <w:vMerge w:val="restart"/>
          </w:tcPr>
          <w:p w14:paraId="0E49F8D9" w14:textId="77777777" w:rsidR="00424F47" w:rsidRPr="00EA2B44" w:rsidRDefault="00424F47" w:rsidP="005B1108">
            <w:pPr>
              <w:jc w:val="both"/>
              <w:rPr>
                <w:sz w:val="20"/>
                <w:szCs w:val="20"/>
              </w:rPr>
            </w:pPr>
            <w:proofErr w:type="spellStart"/>
            <w:r w:rsidRPr="00EA2B44">
              <w:rPr>
                <w:sz w:val="20"/>
                <w:szCs w:val="20"/>
              </w:rPr>
              <w:t>If</w:t>
            </w:r>
            <w:proofErr w:type="spellEnd"/>
            <w:r w:rsidRPr="00EA2B44">
              <w:rPr>
                <w:sz w:val="20"/>
                <w:szCs w:val="20"/>
              </w:rPr>
              <w:t xml:space="preserve"> </w:t>
            </w:r>
            <w:proofErr w:type="spellStart"/>
            <w:r w:rsidRPr="00EA2B44">
              <w:rPr>
                <w:sz w:val="20"/>
                <w:szCs w:val="20"/>
              </w:rPr>
              <w:t>you</w:t>
            </w:r>
            <w:proofErr w:type="spellEnd"/>
            <w:r w:rsidRPr="00EA2B44">
              <w:rPr>
                <w:sz w:val="20"/>
                <w:szCs w:val="20"/>
              </w:rPr>
              <w:t xml:space="preserve"> </w:t>
            </w:r>
            <w:proofErr w:type="spellStart"/>
            <w:r w:rsidRPr="00EA2B44">
              <w:rPr>
                <w:sz w:val="20"/>
                <w:szCs w:val="20"/>
              </w:rPr>
              <w:t>believe</w:t>
            </w:r>
            <w:proofErr w:type="spellEnd"/>
            <w:r w:rsidRPr="00EA2B44">
              <w:rPr>
                <w:sz w:val="20"/>
                <w:szCs w:val="20"/>
              </w:rPr>
              <w:t xml:space="preserve"> </w:t>
            </w:r>
            <w:proofErr w:type="spellStart"/>
            <w:r w:rsidRPr="00EA2B44">
              <w:rPr>
                <w:sz w:val="20"/>
                <w:szCs w:val="20"/>
              </w:rPr>
              <w:t>that</w:t>
            </w:r>
            <w:proofErr w:type="spellEnd"/>
            <w:r w:rsidRPr="00EA2B44">
              <w:rPr>
                <w:sz w:val="20"/>
                <w:szCs w:val="20"/>
              </w:rPr>
              <w:t xml:space="preserve"> a </w:t>
            </w:r>
            <w:proofErr w:type="spellStart"/>
            <w:r w:rsidRPr="00EA2B44">
              <w:rPr>
                <w:sz w:val="20"/>
                <w:szCs w:val="20"/>
              </w:rPr>
              <w:t>clause</w:t>
            </w:r>
            <w:proofErr w:type="spellEnd"/>
            <w:r w:rsidRPr="00EA2B44">
              <w:rPr>
                <w:sz w:val="20"/>
                <w:szCs w:val="20"/>
              </w:rPr>
              <w:t xml:space="preserve"> </w:t>
            </w:r>
            <w:proofErr w:type="spellStart"/>
            <w:r w:rsidRPr="00EA2B44">
              <w:rPr>
                <w:sz w:val="20"/>
                <w:szCs w:val="20"/>
              </w:rPr>
              <w:t>of</w:t>
            </w:r>
            <w:proofErr w:type="spellEnd"/>
            <w:r w:rsidRPr="00EA2B44">
              <w:rPr>
                <w:sz w:val="20"/>
                <w:szCs w:val="20"/>
              </w:rPr>
              <w:t xml:space="preserve"> </w:t>
            </w:r>
            <w:proofErr w:type="spellStart"/>
            <w:r w:rsidRPr="00EA2B44">
              <w:rPr>
                <w:sz w:val="20"/>
                <w:szCs w:val="20"/>
              </w:rPr>
              <w:t>the</w:t>
            </w:r>
            <w:proofErr w:type="spellEnd"/>
            <w:r w:rsidRPr="00EA2B44">
              <w:rPr>
                <w:sz w:val="20"/>
                <w:szCs w:val="20"/>
              </w:rPr>
              <w:t xml:space="preserve"> </w:t>
            </w:r>
            <w:proofErr w:type="spellStart"/>
            <w:r w:rsidRPr="00EA2B44">
              <w:rPr>
                <w:sz w:val="20"/>
                <w:szCs w:val="20"/>
              </w:rPr>
              <w:t>technical</w:t>
            </w:r>
            <w:proofErr w:type="spellEnd"/>
            <w:r w:rsidRPr="00EA2B44">
              <w:rPr>
                <w:sz w:val="20"/>
                <w:szCs w:val="20"/>
              </w:rPr>
              <w:t xml:space="preserve"> </w:t>
            </w:r>
            <w:proofErr w:type="spellStart"/>
            <w:r w:rsidRPr="00EA2B44">
              <w:rPr>
                <w:sz w:val="20"/>
                <w:szCs w:val="20"/>
              </w:rPr>
              <w:t>specification</w:t>
            </w:r>
            <w:proofErr w:type="spellEnd"/>
            <w:r w:rsidRPr="00EA2B44">
              <w:rPr>
                <w:sz w:val="20"/>
                <w:szCs w:val="20"/>
              </w:rPr>
              <w:t xml:space="preserve"> </w:t>
            </w:r>
            <w:proofErr w:type="spellStart"/>
            <w:r w:rsidRPr="00EA2B44">
              <w:rPr>
                <w:sz w:val="20"/>
                <w:szCs w:val="20"/>
              </w:rPr>
              <w:t>should</w:t>
            </w:r>
            <w:proofErr w:type="spellEnd"/>
            <w:r w:rsidRPr="00EA2B44">
              <w:rPr>
                <w:sz w:val="20"/>
                <w:szCs w:val="20"/>
              </w:rPr>
              <w:t xml:space="preserve"> be </w:t>
            </w:r>
            <w:proofErr w:type="spellStart"/>
            <w:r w:rsidRPr="00EA2B44">
              <w:rPr>
                <w:sz w:val="20"/>
                <w:szCs w:val="20"/>
              </w:rPr>
              <w:t>amended</w:t>
            </w:r>
            <w:proofErr w:type="spellEnd"/>
            <w:r w:rsidRPr="00EA2B44">
              <w:rPr>
                <w:sz w:val="20"/>
                <w:szCs w:val="20"/>
              </w:rPr>
              <w:t xml:space="preserve"> </w:t>
            </w:r>
            <w:proofErr w:type="spellStart"/>
            <w:r w:rsidRPr="00EA2B44">
              <w:rPr>
                <w:sz w:val="20"/>
                <w:szCs w:val="20"/>
              </w:rPr>
              <w:t>or</w:t>
            </w:r>
            <w:proofErr w:type="spellEnd"/>
            <w:r w:rsidRPr="00EA2B44">
              <w:rPr>
                <w:sz w:val="20"/>
                <w:szCs w:val="20"/>
              </w:rPr>
              <w:t xml:space="preserve"> </w:t>
            </w:r>
            <w:proofErr w:type="spellStart"/>
            <w:r w:rsidRPr="00EA2B44">
              <w:rPr>
                <w:sz w:val="20"/>
                <w:szCs w:val="20"/>
              </w:rPr>
              <w:t>clarified</w:t>
            </w:r>
            <w:proofErr w:type="spellEnd"/>
            <w:r w:rsidRPr="00EA2B44">
              <w:rPr>
                <w:sz w:val="20"/>
                <w:szCs w:val="20"/>
              </w:rPr>
              <w:t xml:space="preserve">, </w:t>
            </w:r>
            <w:proofErr w:type="spellStart"/>
            <w:r w:rsidRPr="00EA2B44">
              <w:rPr>
                <w:sz w:val="20"/>
                <w:szCs w:val="20"/>
              </w:rPr>
              <w:t>please</w:t>
            </w:r>
            <w:proofErr w:type="spellEnd"/>
            <w:r w:rsidRPr="00EA2B44">
              <w:rPr>
                <w:sz w:val="20"/>
                <w:szCs w:val="20"/>
              </w:rPr>
              <w:t xml:space="preserve"> </w:t>
            </w:r>
            <w:proofErr w:type="spellStart"/>
            <w:r w:rsidRPr="00EA2B44">
              <w:rPr>
                <w:sz w:val="20"/>
                <w:szCs w:val="20"/>
              </w:rPr>
              <w:t>indicate</w:t>
            </w:r>
            <w:proofErr w:type="spellEnd"/>
            <w:r w:rsidRPr="00EA2B44">
              <w:rPr>
                <w:sz w:val="20"/>
                <w:szCs w:val="20"/>
              </w:rPr>
              <w:t>.</w:t>
            </w:r>
          </w:p>
          <w:p w14:paraId="1CFBC76F" w14:textId="284F82A9" w:rsidR="00424F47" w:rsidRPr="00EA2B44" w:rsidRDefault="00424F47" w:rsidP="005B1108">
            <w:pPr>
              <w:jc w:val="both"/>
              <w:rPr>
                <w:rFonts w:ascii="Times New Roman" w:hAnsi="Times New Roman"/>
                <w:i/>
                <w:sz w:val="20"/>
                <w:szCs w:val="20"/>
              </w:rPr>
            </w:pPr>
            <w:r w:rsidRPr="00EA2B44">
              <w:rPr>
                <w:rFonts w:ascii="Times New Roman" w:hAnsi="Times New Roman"/>
                <w:i/>
                <w:sz w:val="20"/>
                <w:szCs w:val="20"/>
                <w:highlight w:val="yellow"/>
              </w:rPr>
              <w:t>Jei manote, kad kuri nors techninių specifikacijų nuostata turėtų būti pakeista ar patikslinta, prašome tai nurodyti.</w:t>
            </w:r>
          </w:p>
        </w:tc>
        <w:tc>
          <w:tcPr>
            <w:tcW w:w="3148" w:type="dxa"/>
          </w:tcPr>
          <w:p w14:paraId="1EFCB15A" w14:textId="2FC246B1" w:rsidR="00424F47" w:rsidRPr="00EA2B44" w:rsidRDefault="00424F47" w:rsidP="00EA2B44">
            <w:pPr>
              <w:jc w:val="both"/>
              <w:rPr>
                <w:rFonts w:ascii="Times New Roman" w:hAnsi="Times New Roman"/>
                <w:i/>
                <w:sz w:val="20"/>
                <w:szCs w:val="20"/>
              </w:rPr>
            </w:pPr>
            <w:r w:rsidRPr="00424F47">
              <w:rPr>
                <w:rFonts w:ascii="Times New Roman" w:hAnsi="Times New Roman"/>
                <w:i/>
                <w:sz w:val="20"/>
                <w:szCs w:val="20"/>
              </w:rPr>
              <w:t xml:space="preserve">§12: </w:t>
            </w:r>
            <w:proofErr w:type="spellStart"/>
            <w:r w:rsidRPr="00424F47">
              <w:rPr>
                <w:rFonts w:ascii="Times New Roman" w:hAnsi="Times New Roman"/>
                <w:i/>
                <w:sz w:val="20"/>
                <w:szCs w:val="20"/>
              </w:rPr>
              <w:t>We</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propose</w:t>
            </w:r>
            <w:proofErr w:type="spellEnd"/>
            <w:r w:rsidRPr="00424F47">
              <w:rPr>
                <w:rFonts w:ascii="Times New Roman" w:hAnsi="Times New Roman"/>
                <w:i/>
                <w:sz w:val="20"/>
                <w:szCs w:val="20"/>
              </w:rPr>
              <w:t xml:space="preserve"> to </w:t>
            </w:r>
            <w:proofErr w:type="spellStart"/>
            <w:r w:rsidRPr="00424F47">
              <w:rPr>
                <w:rFonts w:ascii="Times New Roman" w:hAnsi="Times New Roman"/>
                <w:i/>
                <w:sz w:val="20"/>
                <w:szCs w:val="20"/>
              </w:rPr>
              <w:t>set</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the</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deadline</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for</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agreements</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of</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seminar</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contents</w:t>
            </w:r>
            <w:proofErr w:type="spellEnd"/>
            <w:r w:rsidRPr="00424F47">
              <w:rPr>
                <w:rFonts w:ascii="Times New Roman" w:hAnsi="Times New Roman"/>
                <w:i/>
                <w:sz w:val="20"/>
                <w:szCs w:val="20"/>
              </w:rPr>
              <w:t xml:space="preserve"> to 3 </w:t>
            </w:r>
            <w:proofErr w:type="spellStart"/>
            <w:r w:rsidRPr="00424F47">
              <w:rPr>
                <w:rFonts w:ascii="Times New Roman" w:hAnsi="Times New Roman"/>
                <w:i/>
                <w:sz w:val="20"/>
                <w:szCs w:val="20"/>
              </w:rPr>
              <w:t>weeks</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prior</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the</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seminar</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latest</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This</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time</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is</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needed</w:t>
            </w:r>
            <w:proofErr w:type="spellEnd"/>
            <w:r w:rsidRPr="00424F47">
              <w:rPr>
                <w:rFonts w:ascii="Times New Roman" w:hAnsi="Times New Roman"/>
                <w:i/>
                <w:sz w:val="20"/>
                <w:szCs w:val="20"/>
              </w:rPr>
              <w:t xml:space="preserve"> to </w:t>
            </w:r>
            <w:proofErr w:type="spellStart"/>
            <w:r w:rsidRPr="00424F47">
              <w:rPr>
                <w:rFonts w:ascii="Times New Roman" w:hAnsi="Times New Roman"/>
                <w:i/>
                <w:sz w:val="20"/>
                <w:szCs w:val="20"/>
              </w:rPr>
              <w:t>thoroughly</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prepare</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the</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seminars</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Last</w:t>
            </w:r>
            <w:proofErr w:type="spellEnd"/>
            <w:r w:rsidRPr="00424F47">
              <w:rPr>
                <w:rFonts w:ascii="Times New Roman" w:hAnsi="Times New Roman"/>
                <w:i/>
                <w:sz w:val="20"/>
                <w:szCs w:val="20"/>
              </w:rPr>
              <w:t xml:space="preserve">-minute </w:t>
            </w:r>
            <w:proofErr w:type="spellStart"/>
            <w:r w:rsidRPr="00424F47">
              <w:rPr>
                <w:rFonts w:ascii="Times New Roman" w:hAnsi="Times New Roman"/>
                <w:i/>
                <w:sz w:val="20"/>
                <w:szCs w:val="20"/>
              </w:rPr>
              <w:t>requests</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referring</w:t>
            </w:r>
            <w:proofErr w:type="spellEnd"/>
            <w:r w:rsidRPr="00424F47">
              <w:rPr>
                <w:rFonts w:ascii="Times New Roman" w:hAnsi="Times New Roman"/>
                <w:i/>
                <w:sz w:val="20"/>
                <w:szCs w:val="20"/>
              </w:rPr>
              <w:t xml:space="preserve"> to </w:t>
            </w:r>
            <w:proofErr w:type="spellStart"/>
            <w:r w:rsidRPr="00424F47">
              <w:rPr>
                <w:rFonts w:ascii="Times New Roman" w:hAnsi="Times New Roman"/>
                <w:i/>
                <w:sz w:val="20"/>
                <w:szCs w:val="20"/>
              </w:rPr>
              <w:t>minor</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changes</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can</w:t>
            </w:r>
            <w:proofErr w:type="spellEnd"/>
            <w:r w:rsidRPr="00424F47">
              <w:rPr>
                <w:rFonts w:ascii="Times New Roman" w:hAnsi="Times New Roman"/>
                <w:i/>
                <w:sz w:val="20"/>
                <w:szCs w:val="20"/>
              </w:rPr>
              <w:t xml:space="preserve"> be </w:t>
            </w:r>
            <w:proofErr w:type="spellStart"/>
            <w:r w:rsidRPr="00424F47">
              <w:rPr>
                <w:rFonts w:ascii="Times New Roman" w:hAnsi="Times New Roman"/>
                <w:i/>
                <w:sz w:val="20"/>
                <w:szCs w:val="20"/>
              </w:rPr>
              <w:t>made</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though</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up</w:t>
            </w:r>
            <w:proofErr w:type="spellEnd"/>
            <w:r w:rsidRPr="00424F47">
              <w:rPr>
                <w:rFonts w:ascii="Times New Roman" w:hAnsi="Times New Roman"/>
                <w:i/>
                <w:sz w:val="20"/>
                <w:szCs w:val="20"/>
              </w:rPr>
              <w:t xml:space="preserve"> to 5 </w:t>
            </w:r>
            <w:proofErr w:type="spellStart"/>
            <w:r w:rsidRPr="00424F47">
              <w:rPr>
                <w:rFonts w:ascii="Times New Roman" w:hAnsi="Times New Roman"/>
                <w:i/>
                <w:sz w:val="20"/>
                <w:szCs w:val="20"/>
              </w:rPr>
              <w:t>days</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in</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advance</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The</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initial</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workshop</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proposal</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should</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hence</w:t>
            </w:r>
            <w:proofErr w:type="spellEnd"/>
            <w:r w:rsidRPr="00424F47">
              <w:rPr>
                <w:rFonts w:ascii="Times New Roman" w:hAnsi="Times New Roman"/>
                <w:i/>
                <w:sz w:val="20"/>
                <w:szCs w:val="20"/>
              </w:rPr>
              <w:t xml:space="preserve"> be </w:t>
            </w:r>
            <w:proofErr w:type="spellStart"/>
            <w:r w:rsidRPr="00424F47">
              <w:rPr>
                <w:rFonts w:ascii="Times New Roman" w:hAnsi="Times New Roman"/>
                <w:i/>
                <w:sz w:val="20"/>
                <w:szCs w:val="20"/>
              </w:rPr>
              <w:t>made</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available</w:t>
            </w:r>
            <w:proofErr w:type="spellEnd"/>
            <w:r w:rsidRPr="00424F47">
              <w:rPr>
                <w:rFonts w:ascii="Times New Roman" w:hAnsi="Times New Roman"/>
                <w:i/>
                <w:sz w:val="20"/>
                <w:szCs w:val="20"/>
              </w:rPr>
              <w:t xml:space="preserve"> to </w:t>
            </w:r>
            <w:proofErr w:type="spellStart"/>
            <w:r w:rsidRPr="00424F47">
              <w:rPr>
                <w:rFonts w:ascii="Times New Roman" w:hAnsi="Times New Roman"/>
                <w:i/>
                <w:sz w:val="20"/>
                <w:szCs w:val="20"/>
              </w:rPr>
              <w:t>the</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authority</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latest</w:t>
            </w:r>
            <w:proofErr w:type="spellEnd"/>
            <w:r w:rsidRPr="00424F47">
              <w:rPr>
                <w:rFonts w:ascii="Times New Roman" w:hAnsi="Times New Roman"/>
                <w:i/>
                <w:sz w:val="20"/>
                <w:szCs w:val="20"/>
              </w:rPr>
              <w:t xml:space="preserve"> 4 </w:t>
            </w:r>
            <w:proofErr w:type="spellStart"/>
            <w:r w:rsidRPr="00424F47">
              <w:rPr>
                <w:rFonts w:ascii="Times New Roman" w:hAnsi="Times New Roman"/>
                <w:i/>
                <w:sz w:val="20"/>
                <w:szCs w:val="20"/>
              </w:rPr>
              <w:t>weeks</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prior</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the</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seminar</w:t>
            </w:r>
            <w:proofErr w:type="spellEnd"/>
            <w:r w:rsidRPr="00424F47">
              <w:rPr>
                <w:rFonts w:ascii="Times New Roman" w:hAnsi="Times New Roman"/>
                <w:i/>
                <w:sz w:val="20"/>
                <w:szCs w:val="20"/>
              </w:rPr>
              <w:t xml:space="preserve"> to </w:t>
            </w:r>
            <w:proofErr w:type="spellStart"/>
            <w:r w:rsidRPr="00424F47">
              <w:rPr>
                <w:rFonts w:ascii="Times New Roman" w:hAnsi="Times New Roman"/>
                <w:i/>
                <w:sz w:val="20"/>
                <w:szCs w:val="20"/>
              </w:rPr>
              <w:t>allow</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proposing</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amendments</w:t>
            </w:r>
            <w:proofErr w:type="spellEnd"/>
            <w:r w:rsidRPr="00424F47">
              <w:rPr>
                <w:rFonts w:ascii="Times New Roman" w:hAnsi="Times New Roman"/>
                <w:i/>
                <w:sz w:val="20"/>
                <w:szCs w:val="20"/>
              </w:rPr>
              <w:t>.</w:t>
            </w:r>
            <w:r w:rsidRPr="00EA2B44">
              <w:rPr>
                <w:rFonts w:ascii="Times New Roman" w:hAnsi="Times New Roman"/>
                <w:i/>
                <w:sz w:val="20"/>
                <w:szCs w:val="20"/>
              </w:rPr>
              <w:t>?</w:t>
            </w:r>
          </w:p>
        </w:tc>
        <w:tc>
          <w:tcPr>
            <w:tcW w:w="3465" w:type="dxa"/>
          </w:tcPr>
          <w:p w14:paraId="14D7953F" w14:textId="0EA9F679" w:rsidR="00424F47" w:rsidRPr="00424F47" w:rsidRDefault="00424F47" w:rsidP="00424F47">
            <w:pPr>
              <w:jc w:val="both"/>
              <w:rPr>
                <w:rFonts w:ascii="Times New Roman" w:hAnsi="Times New Roman"/>
                <w:i/>
                <w:sz w:val="20"/>
                <w:szCs w:val="20"/>
              </w:rPr>
            </w:pPr>
            <w:r w:rsidRPr="0067165D">
              <w:rPr>
                <w:rFonts w:ascii="Times New Roman" w:hAnsi="Times New Roman"/>
                <w:b/>
                <w:bCs/>
                <w:i/>
                <w:sz w:val="20"/>
                <w:szCs w:val="20"/>
              </w:rPr>
              <w:t>§12:</w:t>
            </w:r>
            <w:r w:rsidRPr="0067165D">
              <w:rPr>
                <w:rFonts w:ascii="Times New Roman" w:hAnsi="Times New Roman"/>
                <w:i/>
                <w:sz w:val="20"/>
                <w:szCs w:val="20"/>
              </w:rPr>
              <w:t xml:space="preserve"> Siūlome nustatyti seminarų turinio suderinimo terminą – ne vėliau kaip likus </w:t>
            </w:r>
            <w:r w:rsidRPr="0067165D">
              <w:rPr>
                <w:rFonts w:ascii="Times New Roman" w:hAnsi="Times New Roman"/>
                <w:b/>
                <w:bCs/>
                <w:i/>
                <w:sz w:val="20"/>
                <w:szCs w:val="20"/>
              </w:rPr>
              <w:t>3 savaitėms</w:t>
            </w:r>
            <w:r w:rsidRPr="0067165D">
              <w:rPr>
                <w:rFonts w:ascii="Times New Roman" w:hAnsi="Times New Roman"/>
                <w:i/>
                <w:sz w:val="20"/>
                <w:szCs w:val="20"/>
              </w:rPr>
              <w:t xml:space="preserve"> iki seminaro. Šis laikas reikalingas kruopščiam pasiruošimui. Nedideli pakeitimai gali būti siūlomi iki 5 dienų prieš seminarą. Pradinį seminaro pasiūlymą reikėtų pateikti per 4 savaites iki seminaro, kad būtų galima laiku pateikti pastabas.</w:t>
            </w:r>
          </w:p>
        </w:tc>
        <w:tc>
          <w:tcPr>
            <w:tcW w:w="3650" w:type="dxa"/>
          </w:tcPr>
          <w:p w14:paraId="51A18D6E" w14:textId="32CA3379" w:rsidR="00424F47" w:rsidRPr="00620CD5" w:rsidRDefault="003D672D" w:rsidP="4527A36E">
            <w:pPr>
              <w:jc w:val="both"/>
              <w:rPr>
                <w:rFonts w:ascii="Times New Roman" w:hAnsi="Times New Roman"/>
                <w:b/>
                <w:bCs/>
                <w:color w:val="EE0000"/>
                <w:sz w:val="20"/>
                <w:szCs w:val="20"/>
              </w:rPr>
            </w:pPr>
            <w:r w:rsidRPr="00620CD5">
              <w:rPr>
                <w:rFonts w:ascii="Times New Roman" w:hAnsi="Times New Roman"/>
                <w:color w:val="EE0000"/>
                <w:sz w:val="20"/>
                <w:szCs w:val="20"/>
              </w:rPr>
              <w:t>Dabar yra 5 ir 10 dien</w:t>
            </w:r>
            <w:r w:rsidR="0050532C" w:rsidRPr="00620CD5">
              <w:rPr>
                <w:rFonts w:ascii="Times New Roman" w:hAnsi="Times New Roman"/>
                <w:color w:val="EE0000"/>
                <w:sz w:val="20"/>
                <w:szCs w:val="20"/>
              </w:rPr>
              <w:t>os</w:t>
            </w:r>
            <w:r w:rsidR="00293813" w:rsidRPr="00620CD5">
              <w:rPr>
                <w:rFonts w:ascii="Times New Roman" w:hAnsi="Times New Roman"/>
                <w:color w:val="EE0000"/>
                <w:sz w:val="20"/>
                <w:szCs w:val="20"/>
              </w:rPr>
              <w:t xml:space="preserve">. </w:t>
            </w:r>
            <w:r w:rsidR="0050532C" w:rsidRPr="00620CD5">
              <w:rPr>
                <w:rFonts w:ascii="Times New Roman" w:hAnsi="Times New Roman"/>
                <w:color w:val="EE0000"/>
                <w:sz w:val="20"/>
                <w:szCs w:val="20"/>
              </w:rPr>
              <w:t>Pa</w:t>
            </w:r>
            <w:r w:rsidR="65DCA931" w:rsidRPr="00620CD5">
              <w:rPr>
                <w:rFonts w:ascii="Times New Roman" w:hAnsi="Times New Roman"/>
                <w:color w:val="EE0000"/>
                <w:sz w:val="20"/>
                <w:szCs w:val="20"/>
              </w:rPr>
              <w:t xml:space="preserve">didintas dienų kiekis </w:t>
            </w:r>
            <w:r w:rsidR="0050532C" w:rsidRPr="00620CD5">
              <w:rPr>
                <w:rFonts w:ascii="Times New Roman" w:hAnsi="Times New Roman"/>
                <w:color w:val="EE0000"/>
                <w:sz w:val="20"/>
                <w:szCs w:val="20"/>
              </w:rPr>
              <w:t xml:space="preserve">atitinkamai </w:t>
            </w:r>
            <w:r w:rsidR="00F365A3" w:rsidRPr="00620CD5">
              <w:rPr>
                <w:rFonts w:ascii="Times New Roman" w:hAnsi="Times New Roman"/>
                <w:color w:val="EE0000"/>
                <w:sz w:val="20"/>
                <w:szCs w:val="20"/>
              </w:rPr>
              <w:t>1</w:t>
            </w:r>
            <w:r w:rsidR="00EA2C96" w:rsidRPr="00620CD5">
              <w:rPr>
                <w:rFonts w:ascii="Times New Roman" w:hAnsi="Times New Roman"/>
                <w:color w:val="EE0000"/>
                <w:sz w:val="20"/>
                <w:szCs w:val="20"/>
              </w:rPr>
              <w:t>0</w:t>
            </w:r>
            <w:r w:rsidR="00F365A3" w:rsidRPr="00620CD5">
              <w:rPr>
                <w:rFonts w:ascii="Times New Roman" w:hAnsi="Times New Roman"/>
                <w:color w:val="EE0000"/>
                <w:sz w:val="20"/>
                <w:szCs w:val="20"/>
              </w:rPr>
              <w:t xml:space="preserve"> ir </w:t>
            </w:r>
            <w:r w:rsidR="00EA2C96" w:rsidRPr="00620CD5">
              <w:rPr>
                <w:rFonts w:ascii="Times New Roman" w:hAnsi="Times New Roman"/>
                <w:color w:val="EE0000"/>
                <w:sz w:val="20"/>
                <w:szCs w:val="20"/>
              </w:rPr>
              <w:t>15</w:t>
            </w:r>
            <w:r w:rsidR="00F365A3" w:rsidRPr="00620CD5">
              <w:rPr>
                <w:rFonts w:ascii="Times New Roman" w:hAnsi="Times New Roman"/>
                <w:color w:val="EE0000"/>
                <w:sz w:val="20"/>
                <w:szCs w:val="20"/>
              </w:rPr>
              <w:t xml:space="preserve"> darbo dien</w:t>
            </w:r>
            <w:r w:rsidR="00EA2C96" w:rsidRPr="00620CD5">
              <w:rPr>
                <w:rFonts w:ascii="Times New Roman" w:hAnsi="Times New Roman"/>
                <w:color w:val="EE0000"/>
                <w:sz w:val="20"/>
                <w:szCs w:val="20"/>
              </w:rPr>
              <w:t>ų.</w:t>
            </w:r>
          </w:p>
          <w:p w14:paraId="2B02ABD5" w14:textId="28DB0FD8" w:rsidR="00424F47" w:rsidRPr="000E64D6" w:rsidRDefault="04ADFF7E" w:rsidP="00D03428">
            <w:pPr>
              <w:jc w:val="both"/>
              <w:rPr>
                <w:rFonts w:ascii="Times New Roman" w:eastAsia="Times New Roman" w:hAnsi="Times New Roman"/>
                <w:b/>
                <w:bCs/>
                <w:sz w:val="20"/>
                <w:szCs w:val="20"/>
                <w:lang w:val="en-US"/>
              </w:rPr>
            </w:pPr>
            <w:r w:rsidRPr="64D4A8BF">
              <w:rPr>
                <w:rFonts w:ascii="Times New Roman" w:eastAsia="Times New Roman" w:hAnsi="Times New Roman"/>
                <w:b/>
                <w:bCs/>
                <w:sz w:val="20"/>
                <w:szCs w:val="20"/>
                <w:lang w:val="en-US"/>
              </w:rPr>
              <w:t>Currently, the timeframes are 5 and 10 days. The number of days has been increased to 10 and 15 working days, respectively.</w:t>
            </w:r>
          </w:p>
        </w:tc>
      </w:tr>
      <w:tr w:rsidR="00424F47" w:rsidRPr="003E1CA5" w14:paraId="4408A13C" w14:textId="77777777" w:rsidTr="00EA2B44">
        <w:trPr>
          <w:trHeight w:val="16"/>
        </w:trPr>
        <w:tc>
          <w:tcPr>
            <w:tcW w:w="0" w:type="auto"/>
            <w:vAlign w:val="center"/>
          </w:tcPr>
          <w:p w14:paraId="6EAA694A" w14:textId="77777777" w:rsidR="00424F47" w:rsidRPr="00EA2B44" w:rsidRDefault="00424F47" w:rsidP="00424F47">
            <w:pPr>
              <w:pStyle w:val="Sraopastraipa"/>
              <w:numPr>
                <w:ilvl w:val="0"/>
                <w:numId w:val="1"/>
              </w:numPr>
              <w:tabs>
                <w:tab w:val="left" w:pos="0"/>
              </w:tabs>
              <w:spacing w:after="0" w:line="240" w:lineRule="auto"/>
              <w:ind w:left="0" w:firstLine="0"/>
              <w:jc w:val="center"/>
              <w:rPr>
                <w:rFonts w:ascii="Times New Roman" w:hAnsi="Times New Roman"/>
                <w:i/>
                <w:sz w:val="20"/>
                <w:szCs w:val="20"/>
              </w:rPr>
            </w:pPr>
          </w:p>
        </w:tc>
        <w:tc>
          <w:tcPr>
            <w:tcW w:w="3228" w:type="dxa"/>
            <w:vMerge/>
            <w:vAlign w:val="center"/>
          </w:tcPr>
          <w:p w14:paraId="1A9628D5" w14:textId="77777777" w:rsidR="00424F47" w:rsidRPr="00EA2B44" w:rsidRDefault="00424F47" w:rsidP="00424F47">
            <w:pPr>
              <w:jc w:val="both"/>
              <w:rPr>
                <w:sz w:val="20"/>
                <w:szCs w:val="20"/>
              </w:rPr>
            </w:pPr>
          </w:p>
        </w:tc>
        <w:tc>
          <w:tcPr>
            <w:tcW w:w="3148" w:type="dxa"/>
          </w:tcPr>
          <w:p w14:paraId="0DA92B0E" w14:textId="3276D768" w:rsidR="00424F47" w:rsidRPr="00424F47" w:rsidRDefault="00424F47" w:rsidP="00424F47">
            <w:pPr>
              <w:jc w:val="both"/>
              <w:rPr>
                <w:rFonts w:ascii="Times New Roman" w:hAnsi="Times New Roman"/>
                <w:i/>
                <w:sz w:val="20"/>
                <w:szCs w:val="20"/>
              </w:rPr>
            </w:pPr>
            <w:r w:rsidRPr="00424F47">
              <w:rPr>
                <w:rFonts w:ascii="Times New Roman" w:hAnsi="Times New Roman"/>
                <w:i/>
                <w:sz w:val="20"/>
                <w:szCs w:val="20"/>
              </w:rPr>
              <w:t xml:space="preserve">§17: </w:t>
            </w:r>
            <w:proofErr w:type="spellStart"/>
            <w:r w:rsidRPr="00424F47">
              <w:rPr>
                <w:rFonts w:ascii="Times New Roman" w:hAnsi="Times New Roman"/>
                <w:i/>
                <w:sz w:val="20"/>
                <w:szCs w:val="20"/>
              </w:rPr>
              <w:t>Is</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there</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an</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expectation</w:t>
            </w:r>
            <w:proofErr w:type="spellEnd"/>
            <w:r w:rsidRPr="00424F47">
              <w:rPr>
                <w:rFonts w:ascii="Times New Roman" w:hAnsi="Times New Roman"/>
                <w:i/>
                <w:sz w:val="20"/>
                <w:szCs w:val="20"/>
              </w:rPr>
              <w:t xml:space="preserve"> to </w:t>
            </w:r>
            <w:proofErr w:type="spellStart"/>
            <w:r w:rsidRPr="00424F47">
              <w:rPr>
                <w:rFonts w:ascii="Times New Roman" w:hAnsi="Times New Roman"/>
                <w:i/>
                <w:sz w:val="20"/>
                <w:szCs w:val="20"/>
              </w:rPr>
              <w:t>translate</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materials</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from</w:t>
            </w:r>
            <w:proofErr w:type="spellEnd"/>
            <w:r w:rsidRPr="00424F47">
              <w:rPr>
                <w:rFonts w:ascii="Times New Roman" w:hAnsi="Times New Roman"/>
                <w:i/>
                <w:sz w:val="20"/>
                <w:szCs w:val="20"/>
              </w:rPr>
              <w:t xml:space="preserve"> English </w:t>
            </w:r>
            <w:proofErr w:type="spellStart"/>
            <w:r w:rsidRPr="00424F47">
              <w:rPr>
                <w:rFonts w:ascii="Times New Roman" w:hAnsi="Times New Roman"/>
                <w:i/>
                <w:sz w:val="20"/>
                <w:szCs w:val="20"/>
              </w:rPr>
              <w:t>into</w:t>
            </w:r>
            <w:proofErr w:type="spellEnd"/>
            <w:r w:rsidRPr="00424F47">
              <w:rPr>
                <w:rFonts w:ascii="Times New Roman" w:hAnsi="Times New Roman"/>
                <w:i/>
                <w:sz w:val="20"/>
                <w:szCs w:val="20"/>
              </w:rPr>
              <w:t xml:space="preserve"> Lithuanian? </w:t>
            </w:r>
            <w:proofErr w:type="spellStart"/>
            <w:r w:rsidRPr="00424F47">
              <w:rPr>
                <w:rFonts w:ascii="Times New Roman" w:hAnsi="Times New Roman"/>
                <w:i/>
                <w:sz w:val="20"/>
                <w:szCs w:val="20"/>
              </w:rPr>
              <w:t>We</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can</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do</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that</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using</w:t>
            </w:r>
            <w:proofErr w:type="spellEnd"/>
            <w:r w:rsidRPr="00424F47">
              <w:rPr>
                <w:rFonts w:ascii="Times New Roman" w:hAnsi="Times New Roman"/>
                <w:i/>
                <w:sz w:val="20"/>
                <w:szCs w:val="20"/>
              </w:rPr>
              <w:t xml:space="preserve"> AI </w:t>
            </w:r>
            <w:proofErr w:type="spellStart"/>
            <w:r w:rsidRPr="00424F47">
              <w:rPr>
                <w:rFonts w:ascii="Times New Roman" w:hAnsi="Times New Roman"/>
                <w:i/>
                <w:sz w:val="20"/>
                <w:szCs w:val="20"/>
              </w:rPr>
              <w:t>for</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little</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extra</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costs</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but</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cannot</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guarantee</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quality</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For</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professional</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translations</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we</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would</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need</w:t>
            </w:r>
            <w:proofErr w:type="spellEnd"/>
            <w:r w:rsidRPr="00424F47">
              <w:rPr>
                <w:rFonts w:ascii="Times New Roman" w:hAnsi="Times New Roman"/>
                <w:i/>
                <w:sz w:val="20"/>
                <w:szCs w:val="20"/>
              </w:rPr>
              <w:t xml:space="preserve"> to </w:t>
            </w:r>
            <w:proofErr w:type="spellStart"/>
            <w:r w:rsidRPr="00424F47">
              <w:rPr>
                <w:rFonts w:ascii="Times New Roman" w:hAnsi="Times New Roman"/>
                <w:i/>
                <w:sz w:val="20"/>
                <w:szCs w:val="20"/>
              </w:rPr>
              <w:t>add</w:t>
            </w:r>
            <w:proofErr w:type="spellEnd"/>
            <w:r w:rsidRPr="00424F47">
              <w:rPr>
                <w:rFonts w:ascii="Times New Roman" w:hAnsi="Times New Roman"/>
                <w:i/>
                <w:sz w:val="20"/>
                <w:szCs w:val="20"/>
              </w:rPr>
              <w:t xml:space="preserve"> a </w:t>
            </w:r>
            <w:proofErr w:type="spellStart"/>
            <w:r w:rsidRPr="00424F47">
              <w:rPr>
                <w:rFonts w:ascii="Times New Roman" w:hAnsi="Times New Roman"/>
                <w:i/>
                <w:sz w:val="20"/>
                <w:szCs w:val="20"/>
              </w:rPr>
              <w:t>respective</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budget</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If</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this</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is</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needed</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please</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provide</w:t>
            </w:r>
            <w:proofErr w:type="spellEnd"/>
            <w:r w:rsidRPr="00424F47">
              <w:rPr>
                <w:rFonts w:ascii="Times New Roman" w:hAnsi="Times New Roman"/>
                <w:i/>
                <w:sz w:val="20"/>
                <w:szCs w:val="20"/>
              </w:rPr>
              <w:t xml:space="preserve"> a </w:t>
            </w:r>
            <w:proofErr w:type="spellStart"/>
            <w:r w:rsidRPr="00424F47">
              <w:rPr>
                <w:rFonts w:ascii="Times New Roman" w:hAnsi="Times New Roman"/>
                <w:i/>
                <w:sz w:val="20"/>
                <w:szCs w:val="20"/>
              </w:rPr>
              <w:t>rough</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estimate</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on</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number</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of</w:t>
            </w:r>
            <w:proofErr w:type="spellEnd"/>
            <w:r w:rsidRPr="00424F47">
              <w:rPr>
                <w:rFonts w:ascii="Times New Roman" w:hAnsi="Times New Roman"/>
                <w:i/>
                <w:sz w:val="20"/>
                <w:szCs w:val="20"/>
              </w:rPr>
              <w:t xml:space="preserve"> pages </w:t>
            </w:r>
            <w:proofErr w:type="spellStart"/>
            <w:r w:rsidRPr="00424F47">
              <w:rPr>
                <w:rFonts w:ascii="Times New Roman" w:hAnsi="Times New Roman"/>
                <w:i/>
                <w:sz w:val="20"/>
                <w:szCs w:val="20"/>
              </w:rPr>
              <w:t>or</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words</w:t>
            </w:r>
            <w:proofErr w:type="spellEnd"/>
            <w:r w:rsidRPr="00424F47">
              <w:rPr>
                <w:rFonts w:ascii="Times New Roman" w:hAnsi="Times New Roman"/>
                <w:i/>
                <w:sz w:val="20"/>
                <w:szCs w:val="20"/>
              </w:rPr>
              <w:t xml:space="preserve"> to be </w:t>
            </w:r>
            <w:proofErr w:type="spellStart"/>
            <w:r w:rsidRPr="00424F47">
              <w:rPr>
                <w:rFonts w:ascii="Times New Roman" w:hAnsi="Times New Roman"/>
                <w:i/>
                <w:sz w:val="20"/>
                <w:szCs w:val="20"/>
              </w:rPr>
              <w:t>translated</w:t>
            </w:r>
            <w:proofErr w:type="spellEnd"/>
            <w:r w:rsidRPr="00424F47">
              <w:rPr>
                <w:rFonts w:ascii="Times New Roman" w:hAnsi="Times New Roman"/>
                <w:i/>
                <w:sz w:val="20"/>
                <w:szCs w:val="20"/>
              </w:rPr>
              <w:t>.</w:t>
            </w:r>
          </w:p>
        </w:tc>
        <w:tc>
          <w:tcPr>
            <w:tcW w:w="3465" w:type="dxa"/>
          </w:tcPr>
          <w:p w14:paraId="2DE569FD" w14:textId="12D678B2" w:rsidR="00424F47" w:rsidRPr="00424F47" w:rsidRDefault="00424F47" w:rsidP="00424F47">
            <w:pPr>
              <w:jc w:val="both"/>
              <w:rPr>
                <w:rFonts w:ascii="Times New Roman" w:hAnsi="Times New Roman"/>
                <w:i/>
                <w:sz w:val="20"/>
                <w:szCs w:val="20"/>
              </w:rPr>
            </w:pPr>
            <w:r w:rsidRPr="0067165D">
              <w:rPr>
                <w:rFonts w:ascii="Times New Roman" w:hAnsi="Times New Roman"/>
                <w:b/>
                <w:bCs/>
                <w:i/>
                <w:sz w:val="20"/>
                <w:szCs w:val="20"/>
              </w:rPr>
              <w:t>§17:</w:t>
            </w:r>
            <w:r w:rsidRPr="0067165D">
              <w:rPr>
                <w:rFonts w:ascii="Times New Roman" w:hAnsi="Times New Roman"/>
                <w:i/>
                <w:sz w:val="20"/>
                <w:szCs w:val="20"/>
              </w:rPr>
              <w:t xml:space="preserve"> Ar tikimasi, kad medžiaga bus verčiama iš anglų į lietuvių kalbą? Galime tai atlikti naudodami dirbtinį intelektą už nedidelį papildomą mokestį, tačiau negalime garantuoti vertimo kokybės. Profesionaliam vertimui reikėtų papildomo biudžeto. Jei tai būtina, prašome pateikti preliminarų puslapių ar žodžių skaičių.</w:t>
            </w:r>
          </w:p>
        </w:tc>
        <w:tc>
          <w:tcPr>
            <w:tcW w:w="3650" w:type="dxa"/>
          </w:tcPr>
          <w:p w14:paraId="5864D524" w14:textId="23EF9057" w:rsidR="00424F47" w:rsidRPr="00620CD5" w:rsidRDefault="00D1689E" w:rsidP="2FF8972D">
            <w:pPr>
              <w:jc w:val="both"/>
              <w:rPr>
                <w:rFonts w:ascii="Times New Roman" w:hAnsi="Times New Roman"/>
                <w:color w:val="EE0000"/>
                <w:sz w:val="20"/>
                <w:szCs w:val="20"/>
              </w:rPr>
            </w:pPr>
            <w:r w:rsidRPr="00620CD5">
              <w:rPr>
                <w:rFonts w:ascii="Times New Roman" w:hAnsi="Times New Roman"/>
                <w:color w:val="EE0000"/>
                <w:sz w:val="20"/>
                <w:szCs w:val="20"/>
              </w:rPr>
              <w:t xml:space="preserve">Numatyta įsigyti papildomas </w:t>
            </w:r>
            <w:r w:rsidR="00F63067" w:rsidRPr="00620CD5">
              <w:rPr>
                <w:rFonts w:ascii="Times New Roman" w:hAnsi="Times New Roman"/>
                <w:color w:val="EE0000"/>
                <w:sz w:val="20"/>
                <w:szCs w:val="20"/>
              </w:rPr>
              <w:t xml:space="preserve">profesionalias </w:t>
            </w:r>
            <w:r w:rsidRPr="00620CD5">
              <w:rPr>
                <w:rFonts w:ascii="Times New Roman" w:hAnsi="Times New Roman"/>
                <w:color w:val="EE0000"/>
                <w:sz w:val="20"/>
                <w:szCs w:val="20"/>
              </w:rPr>
              <w:t>vertimo paslaugas</w:t>
            </w:r>
            <w:r w:rsidR="00E84A77" w:rsidRPr="00620CD5">
              <w:rPr>
                <w:rFonts w:ascii="Times New Roman" w:hAnsi="Times New Roman"/>
                <w:color w:val="EE0000"/>
                <w:sz w:val="20"/>
                <w:szCs w:val="20"/>
              </w:rPr>
              <w:t xml:space="preserve">. </w:t>
            </w:r>
          </w:p>
          <w:p w14:paraId="551FE7B3" w14:textId="36CADFB1" w:rsidR="00424F47" w:rsidRPr="000E64D6" w:rsidRDefault="00FD36BA" w:rsidP="00424F47">
            <w:pPr>
              <w:jc w:val="both"/>
              <w:rPr>
                <w:rFonts w:ascii="Times New Roman" w:eastAsia="Times New Roman" w:hAnsi="Times New Roman"/>
                <w:b/>
                <w:bCs/>
                <w:sz w:val="20"/>
                <w:szCs w:val="20"/>
                <w:lang w:val="en-US"/>
              </w:rPr>
            </w:pPr>
            <w:r>
              <w:rPr>
                <w:rFonts w:ascii="Times New Roman" w:eastAsia="Times New Roman" w:hAnsi="Times New Roman"/>
                <w:b/>
                <w:bCs/>
                <w:sz w:val="20"/>
                <w:szCs w:val="20"/>
                <w:lang w:val="en-US"/>
              </w:rPr>
              <w:t xml:space="preserve"> There is room in the budget to procure professional translation services for written material when necessary. </w:t>
            </w:r>
          </w:p>
        </w:tc>
      </w:tr>
      <w:tr w:rsidR="00424F47" w:rsidRPr="003E1CA5" w14:paraId="14ED5A88" w14:textId="77777777" w:rsidTr="00EA2B44">
        <w:trPr>
          <w:trHeight w:val="16"/>
        </w:trPr>
        <w:tc>
          <w:tcPr>
            <w:tcW w:w="0" w:type="auto"/>
            <w:vAlign w:val="center"/>
          </w:tcPr>
          <w:p w14:paraId="2D8A1DF5" w14:textId="77777777" w:rsidR="00424F47" w:rsidRPr="00EA2B44" w:rsidRDefault="00424F47" w:rsidP="00424F47">
            <w:pPr>
              <w:pStyle w:val="Sraopastraipa"/>
              <w:numPr>
                <w:ilvl w:val="0"/>
                <w:numId w:val="1"/>
              </w:numPr>
              <w:tabs>
                <w:tab w:val="left" w:pos="0"/>
              </w:tabs>
              <w:spacing w:after="0" w:line="240" w:lineRule="auto"/>
              <w:ind w:left="0" w:firstLine="0"/>
              <w:jc w:val="center"/>
              <w:rPr>
                <w:rFonts w:ascii="Times New Roman" w:hAnsi="Times New Roman"/>
                <w:i/>
                <w:sz w:val="20"/>
                <w:szCs w:val="20"/>
              </w:rPr>
            </w:pPr>
          </w:p>
        </w:tc>
        <w:tc>
          <w:tcPr>
            <w:tcW w:w="3228" w:type="dxa"/>
            <w:vMerge/>
            <w:vAlign w:val="center"/>
          </w:tcPr>
          <w:p w14:paraId="26ABF940" w14:textId="77777777" w:rsidR="00424F47" w:rsidRPr="00EA2B44" w:rsidRDefault="00424F47" w:rsidP="00424F47">
            <w:pPr>
              <w:jc w:val="both"/>
              <w:rPr>
                <w:sz w:val="20"/>
                <w:szCs w:val="20"/>
              </w:rPr>
            </w:pPr>
          </w:p>
        </w:tc>
        <w:tc>
          <w:tcPr>
            <w:tcW w:w="3148" w:type="dxa"/>
          </w:tcPr>
          <w:p w14:paraId="2E85DD66" w14:textId="53730870" w:rsidR="00424F47" w:rsidRPr="00424F47" w:rsidRDefault="00424F47" w:rsidP="00424F47">
            <w:pPr>
              <w:jc w:val="both"/>
              <w:rPr>
                <w:rFonts w:ascii="Times New Roman" w:hAnsi="Times New Roman"/>
                <w:i/>
                <w:sz w:val="20"/>
                <w:szCs w:val="20"/>
              </w:rPr>
            </w:pPr>
            <w:r w:rsidRPr="00424F47">
              <w:rPr>
                <w:rFonts w:ascii="Times New Roman" w:hAnsi="Times New Roman"/>
                <w:i/>
                <w:sz w:val="20"/>
                <w:szCs w:val="20"/>
              </w:rPr>
              <w:t xml:space="preserve">§20: </w:t>
            </w:r>
            <w:proofErr w:type="spellStart"/>
            <w:r w:rsidRPr="00424F47">
              <w:rPr>
                <w:rFonts w:ascii="Times New Roman" w:hAnsi="Times New Roman"/>
                <w:i/>
                <w:sz w:val="20"/>
                <w:szCs w:val="20"/>
              </w:rPr>
              <w:t>Will</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we</w:t>
            </w:r>
            <w:proofErr w:type="spellEnd"/>
            <w:r w:rsidRPr="00424F47">
              <w:rPr>
                <w:rFonts w:ascii="Times New Roman" w:hAnsi="Times New Roman"/>
                <w:i/>
                <w:sz w:val="20"/>
                <w:szCs w:val="20"/>
              </w:rPr>
              <w:t xml:space="preserve"> be </w:t>
            </w:r>
            <w:proofErr w:type="spellStart"/>
            <w:r w:rsidRPr="00424F47">
              <w:rPr>
                <w:rFonts w:ascii="Times New Roman" w:hAnsi="Times New Roman"/>
                <w:i/>
                <w:sz w:val="20"/>
                <w:szCs w:val="20"/>
              </w:rPr>
              <w:t>required</w:t>
            </w:r>
            <w:proofErr w:type="spellEnd"/>
            <w:r w:rsidRPr="00424F47">
              <w:rPr>
                <w:rFonts w:ascii="Times New Roman" w:hAnsi="Times New Roman"/>
                <w:i/>
                <w:sz w:val="20"/>
                <w:szCs w:val="20"/>
              </w:rPr>
              <w:t xml:space="preserve"> to </w:t>
            </w:r>
            <w:proofErr w:type="spellStart"/>
            <w:r w:rsidRPr="00424F47">
              <w:rPr>
                <w:rFonts w:ascii="Times New Roman" w:hAnsi="Times New Roman"/>
                <w:i/>
                <w:sz w:val="20"/>
                <w:szCs w:val="20"/>
              </w:rPr>
              <w:t>prepare</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consultations</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e.g</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by</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reviewing</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draft</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texts</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or</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analysis</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results</w:t>
            </w:r>
            <w:proofErr w:type="spellEnd"/>
            <w:r w:rsidRPr="00424F47">
              <w:rPr>
                <w:rFonts w:ascii="Times New Roman" w:hAnsi="Times New Roman"/>
                <w:i/>
                <w:sz w:val="20"/>
                <w:szCs w:val="20"/>
              </w:rPr>
              <w:t xml:space="preserve"> etc.? </w:t>
            </w:r>
            <w:proofErr w:type="spellStart"/>
            <w:r w:rsidRPr="00424F47">
              <w:rPr>
                <w:rFonts w:ascii="Times New Roman" w:hAnsi="Times New Roman"/>
                <w:i/>
                <w:sz w:val="20"/>
                <w:szCs w:val="20"/>
              </w:rPr>
              <w:t>This</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is</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currently</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not</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included</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in</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the</w:t>
            </w:r>
            <w:proofErr w:type="spellEnd"/>
            <w:r w:rsidRPr="00424F47">
              <w:rPr>
                <w:rFonts w:ascii="Times New Roman" w:hAnsi="Times New Roman"/>
                <w:i/>
                <w:sz w:val="20"/>
                <w:szCs w:val="20"/>
              </w:rPr>
              <w:t xml:space="preserve"> </w:t>
            </w:r>
            <w:proofErr w:type="spellStart"/>
            <w:r w:rsidRPr="00424F47">
              <w:rPr>
                <w:rFonts w:ascii="Times New Roman" w:hAnsi="Times New Roman"/>
                <w:i/>
                <w:sz w:val="20"/>
                <w:szCs w:val="20"/>
              </w:rPr>
              <w:t>budget</w:t>
            </w:r>
            <w:proofErr w:type="spellEnd"/>
          </w:p>
        </w:tc>
        <w:tc>
          <w:tcPr>
            <w:tcW w:w="3465" w:type="dxa"/>
          </w:tcPr>
          <w:p w14:paraId="608B6107" w14:textId="75975FC4" w:rsidR="00424F47" w:rsidRPr="0067165D" w:rsidRDefault="00424F47" w:rsidP="00424F47">
            <w:pPr>
              <w:jc w:val="both"/>
              <w:rPr>
                <w:rFonts w:ascii="Times New Roman" w:hAnsi="Times New Roman"/>
                <w:b/>
                <w:bCs/>
                <w:i/>
                <w:sz w:val="20"/>
                <w:szCs w:val="20"/>
              </w:rPr>
            </w:pPr>
            <w:r w:rsidRPr="0067165D">
              <w:rPr>
                <w:rFonts w:ascii="Times New Roman" w:hAnsi="Times New Roman"/>
                <w:b/>
                <w:bCs/>
                <w:i/>
                <w:sz w:val="20"/>
                <w:szCs w:val="20"/>
              </w:rPr>
              <w:t>20:</w:t>
            </w:r>
            <w:r w:rsidRPr="0067165D">
              <w:rPr>
                <w:rFonts w:ascii="Times New Roman" w:hAnsi="Times New Roman"/>
                <w:i/>
                <w:sz w:val="20"/>
                <w:szCs w:val="20"/>
              </w:rPr>
              <w:t xml:space="preserve"> Ar turėsime rengti konsultacijas, pavyzdžiui, peržiūrėti tekstų projektus ar analizės rezultatus? Šiuo metu tai nėra įtraukta į biudžetą.</w:t>
            </w:r>
          </w:p>
        </w:tc>
        <w:tc>
          <w:tcPr>
            <w:tcW w:w="3650" w:type="dxa"/>
          </w:tcPr>
          <w:p w14:paraId="0A2BF636" w14:textId="0F793607" w:rsidR="00424F47" w:rsidRPr="000E64D6" w:rsidRDefault="00531686" w:rsidP="76520BC9">
            <w:pPr>
              <w:jc w:val="both"/>
              <w:rPr>
                <w:rFonts w:ascii="Times New Roman" w:hAnsi="Times New Roman"/>
                <w:i/>
                <w:iCs/>
                <w:color w:val="EE0000"/>
                <w:sz w:val="20"/>
                <w:szCs w:val="20"/>
              </w:rPr>
            </w:pPr>
            <w:r w:rsidRPr="00620CD5">
              <w:rPr>
                <w:rFonts w:ascii="Times New Roman" w:hAnsi="Times New Roman"/>
                <w:color w:val="EE0000"/>
                <w:sz w:val="20"/>
                <w:szCs w:val="20"/>
              </w:rPr>
              <w:t xml:space="preserve">Konsultacijos gali </w:t>
            </w:r>
            <w:r w:rsidR="0032689B" w:rsidRPr="00620CD5">
              <w:rPr>
                <w:rFonts w:ascii="Times New Roman" w:hAnsi="Times New Roman"/>
                <w:color w:val="EE0000"/>
                <w:sz w:val="20"/>
                <w:szCs w:val="20"/>
              </w:rPr>
              <w:t>būti aptariam</w:t>
            </w:r>
            <w:r w:rsidR="00D31E32" w:rsidRPr="00620CD5">
              <w:rPr>
                <w:rFonts w:ascii="Times New Roman" w:hAnsi="Times New Roman"/>
                <w:color w:val="EE0000"/>
                <w:sz w:val="20"/>
                <w:szCs w:val="20"/>
              </w:rPr>
              <w:t xml:space="preserve">i  rengiami tekstai. Tačiau atskira </w:t>
            </w:r>
            <w:r w:rsidR="050C04B8" w:rsidRPr="00620CD5">
              <w:rPr>
                <w:rFonts w:ascii="Times New Roman" w:hAnsi="Times New Roman"/>
                <w:color w:val="EE0000"/>
                <w:sz w:val="20"/>
                <w:szCs w:val="20"/>
              </w:rPr>
              <w:t xml:space="preserve">tekstų peržiūros </w:t>
            </w:r>
            <w:r w:rsidR="00D31E32" w:rsidRPr="00620CD5">
              <w:rPr>
                <w:rFonts w:ascii="Times New Roman" w:hAnsi="Times New Roman"/>
                <w:color w:val="EE0000"/>
                <w:sz w:val="20"/>
                <w:szCs w:val="20"/>
              </w:rPr>
              <w:t>paslauga šiame pirkime  nenumatyta</w:t>
            </w:r>
            <w:r w:rsidR="00550CEA" w:rsidRPr="40D3B4CE">
              <w:rPr>
                <w:rFonts w:ascii="Times New Roman" w:hAnsi="Times New Roman"/>
                <w:i/>
                <w:iCs/>
                <w:color w:val="EE0000"/>
                <w:sz w:val="20"/>
                <w:szCs w:val="20"/>
              </w:rPr>
              <w:t>.</w:t>
            </w:r>
          </w:p>
          <w:p w14:paraId="5E16349D" w14:textId="6F985573" w:rsidR="00424F47" w:rsidRPr="00E057FB" w:rsidRDefault="0020385F" w:rsidP="00424F47">
            <w:pPr>
              <w:jc w:val="both"/>
              <w:rPr>
                <w:b/>
                <w:bCs/>
              </w:rPr>
            </w:pPr>
            <w:r w:rsidRPr="00E057FB">
              <w:rPr>
                <w:rFonts w:ascii="Times New Roman" w:eastAsia="Times New Roman" w:hAnsi="Times New Roman"/>
                <w:b/>
                <w:bCs/>
                <w:sz w:val="20"/>
                <w:szCs w:val="20"/>
                <w:lang w:val="en-US"/>
              </w:rPr>
              <w:t>Consultations may include discussions on texts under preparation.</w:t>
            </w:r>
            <w:r w:rsidR="00A42880" w:rsidRPr="00E057FB">
              <w:rPr>
                <w:rFonts w:ascii="Times New Roman" w:eastAsia="Times New Roman" w:hAnsi="Times New Roman"/>
                <w:b/>
                <w:bCs/>
                <w:sz w:val="20"/>
                <w:szCs w:val="20"/>
                <w:lang w:val="en-US"/>
              </w:rPr>
              <w:t xml:space="preserve"> </w:t>
            </w:r>
            <w:r w:rsidR="21B8F0B0" w:rsidRPr="00E057FB">
              <w:rPr>
                <w:rFonts w:ascii="Times New Roman" w:eastAsia="Times New Roman" w:hAnsi="Times New Roman"/>
                <w:b/>
                <w:bCs/>
                <w:sz w:val="20"/>
                <w:szCs w:val="20"/>
                <w:lang w:val="en-US"/>
              </w:rPr>
              <w:t>However, a separate text review service is not foreseen in this procurement</w:t>
            </w:r>
          </w:p>
        </w:tc>
      </w:tr>
      <w:tr w:rsidR="00424F47" w:rsidRPr="003E1CA5" w14:paraId="6FA9E34D" w14:textId="77777777" w:rsidTr="00EA2B44">
        <w:trPr>
          <w:trHeight w:val="16"/>
        </w:trPr>
        <w:tc>
          <w:tcPr>
            <w:tcW w:w="0" w:type="auto"/>
            <w:vAlign w:val="center"/>
          </w:tcPr>
          <w:p w14:paraId="3175D9E2" w14:textId="77777777" w:rsidR="00424F47" w:rsidRPr="00EA2B44" w:rsidRDefault="00424F47" w:rsidP="00424F47">
            <w:pPr>
              <w:pStyle w:val="Sraopastraipa"/>
              <w:numPr>
                <w:ilvl w:val="0"/>
                <w:numId w:val="1"/>
              </w:numPr>
              <w:tabs>
                <w:tab w:val="left" w:pos="0"/>
              </w:tabs>
              <w:spacing w:after="0" w:line="240" w:lineRule="auto"/>
              <w:ind w:left="0" w:firstLine="0"/>
              <w:jc w:val="center"/>
              <w:rPr>
                <w:rFonts w:ascii="Times New Roman" w:hAnsi="Times New Roman"/>
                <w:i/>
                <w:sz w:val="20"/>
                <w:szCs w:val="20"/>
              </w:rPr>
            </w:pPr>
          </w:p>
        </w:tc>
        <w:tc>
          <w:tcPr>
            <w:tcW w:w="3228" w:type="dxa"/>
            <w:vMerge/>
            <w:vAlign w:val="center"/>
          </w:tcPr>
          <w:p w14:paraId="113472B8" w14:textId="77777777" w:rsidR="00424F47" w:rsidRPr="00EA2B44" w:rsidRDefault="00424F47" w:rsidP="00424F47">
            <w:pPr>
              <w:jc w:val="both"/>
              <w:rPr>
                <w:sz w:val="20"/>
                <w:szCs w:val="20"/>
              </w:rPr>
            </w:pPr>
          </w:p>
        </w:tc>
        <w:tc>
          <w:tcPr>
            <w:tcW w:w="3148" w:type="dxa"/>
          </w:tcPr>
          <w:p w14:paraId="2421B87D" w14:textId="0A544C51" w:rsidR="00424F47" w:rsidRPr="00EA2B44" w:rsidRDefault="00424F47" w:rsidP="00424F47">
            <w:pPr>
              <w:jc w:val="both"/>
              <w:rPr>
                <w:rFonts w:ascii="Times New Roman" w:hAnsi="Times New Roman"/>
                <w:i/>
                <w:sz w:val="20"/>
                <w:szCs w:val="20"/>
              </w:rPr>
            </w:pPr>
            <w:r w:rsidRPr="00EA2B44">
              <w:rPr>
                <w:rFonts w:ascii="Times New Roman" w:hAnsi="Times New Roman"/>
                <w:i/>
                <w:sz w:val="20"/>
                <w:szCs w:val="20"/>
              </w:rPr>
              <w:t xml:space="preserve">§21: </w:t>
            </w:r>
            <w:proofErr w:type="spellStart"/>
            <w:r w:rsidRPr="00EA2B44">
              <w:rPr>
                <w:rFonts w:ascii="Times New Roman" w:hAnsi="Times New Roman"/>
                <w:i/>
                <w:sz w:val="20"/>
                <w:szCs w:val="20"/>
              </w:rPr>
              <w:t>Do</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we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assume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correctly</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that</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the</w:t>
            </w:r>
            <w:proofErr w:type="spellEnd"/>
            <w:r w:rsidRPr="00EA2B44">
              <w:rPr>
                <w:rFonts w:ascii="Times New Roman" w:hAnsi="Times New Roman"/>
                <w:i/>
                <w:sz w:val="20"/>
                <w:szCs w:val="20"/>
              </w:rPr>
              <w:t xml:space="preserve"> 13 </w:t>
            </w:r>
            <w:proofErr w:type="spellStart"/>
            <w:r w:rsidRPr="00EA2B44">
              <w:rPr>
                <w:rFonts w:ascii="Times New Roman" w:hAnsi="Times New Roman"/>
                <w:i/>
                <w:sz w:val="20"/>
                <w:szCs w:val="20"/>
              </w:rPr>
              <w:t>mentioned</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consultations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will</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occur</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in</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stage</w:t>
            </w:r>
            <w:proofErr w:type="spellEnd"/>
            <w:r w:rsidRPr="00EA2B44">
              <w:rPr>
                <w:rFonts w:ascii="Times New Roman" w:hAnsi="Times New Roman"/>
                <w:i/>
                <w:sz w:val="20"/>
                <w:szCs w:val="20"/>
              </w:rPr>
              <w:t xml:space="preserve"> 8</w:t>
            </w:r>
          </w:p>
        </w:tc>
        <w:tc>
          <w:tcPr>
            <w:tcW w:w="3465" w:type="dxa"/>
          </w:tcPr>
          <w:p w14:paraId="3CAF5D5D" w14:textId="6A788680" w:rsidR="00424F47" w:rsidRPr="0067165D" w:rsidRDefault="00424F47" w:rsidP="00424F47">
            <w:pPr>
              <w:jc w:val="both"/>
              <w:rPr>
                <w:rFonts w:ascii="Times New Roman" w:hAnsi="Times New Roman"/>
                <w:b/>
                <w:bCs/>
                <w:i/>
                <w:sz w:val="20"/>
                <w:szCs w:val="20"/>
              </w:rPr>
            </w:pPr>
            <w:r w:rsidRPr="0067165D">
              <w:rPr>
                <w:rFonts w:ascii="Times New Roman" w:hAnsi="Times New Roman"/>
                <w:b/>
                <w:bCs/>
                <w:i/>
                <w:sz w:val="20"/>
                <w:szCs w:val="20"/>
              </w:rPr>
              <w:t>21:</w:t>
            </w:r>
            <w:r w:rsidRPr="0067165D">
              <w:rPr>
                <w:rFonts w:ascii="Times New Roman" w:hAnsi="Times New Roman"/>
                <w:i/>
                <w:sz w:val="20"/>
                <w:szCs w:val="20"/>
              </w:rPr>
              <w:t xml:space="preserve"> Ar teisingai suprantame, kad minėtos 13 konsultacijų vyks 8 etape?</w:t>
            </w:r>
          </w:p>
        </w:tc>
        <w:tc>
          <w:tcPr>
            <w:tcW w:w="3650" w:type="dxa"/>
          </w:tcPr>
          <w:p w14:paraId="3C9007B7" w14:textId="77777777" w:rsidR="00424F47" w:rsidRPr="00620CD5" w:rsidRDefault="0078273E" w:rsidP="00424F47">
            <w:pPr>
              <w:jc w:val="both"/>
              <w:rPr>
                <w:rFonts w:ascii="Times New Roman" w:hAnsi="Times New Roman"/>
                <w:color w:val="EE0000"/>
                <w:sz w:val="20"/>
                <w:szCs w:val="20"/>
              </w:rPr>
            </w:pPr>
            <w:r w:rsidRPr="00620CD5">
              <w:rPr>
                <w:rFonts w:ascii="Times New Roman" w:hAnsi="Times New Roman"/>
                <w:color w:val="EE0000"/>
                <w:sz w:val="20"/>
                <w:szCs w:val="20"/>
              </w:rPr>
              <w:t xml:space="preserve">Ne, </w:t>
            </w:r>
            <w:r w:rsidR="003F7E35" w:rsidRPr="00620CD5">
              <w:rPr>
                <w:rFonts w:ascii="Times New Roman" w:hAnsi="Times New Roman"/>
                <w:color w:val="EE0000"/>
                <w:sz w:val="20"/>
                <w:szCs w:val="20"/>
              </w:rPr>
              <w:t xml:space="preserve">šios </w:t>
            </w:r>
            <w:r w:rsidR="005E5159" w:rsidRPr="00620CD5">
              <w:rPr>
                <w:rFonts w:ascii="Times New Roman" w:hAnsi="Times New Roman"/>
                <w:color w:val="EE0000"/>
                <w:sz w:val="20"/>
                <w:szCs w:val="20"/>
              </w:rPr>
              <w:t>13 konsultacijų</w:t>
            </w:r>
            <w:r w:rsidR="000E1CD4" w:rsidRPr="00620CD5">
              <w:rPr>
                <w:rFonts w:ascii="Times New Roman" w:hAnsi="Times New Roman"/>
                <w:color w:val="EE0000"/>
                <w:sz w:val="20"/>
                <w:szCs w:val="20"/>
              </w:rPr>
              <w:t xml:space="preserve"> </w:t>
            </w:r>
            <w:r w:rsidRPr="00620CD5">
              <w:rPr>
                <w:rFonts w:ascii="Times New Roman" w:hAnsi="Times New Roman"/>
                <w:color w:val="EE0000"/>
                <w:sz w:val="20"/>
                <w:szCs w:val="20"/>
              </w:rPr>
              <w:t>yra</w:t>
            </w:r>
            <w:r w:rsidR="0036556A" w:rsidRPr="00620CD5">
              <w:rPr>
                <w:rFonts w:ascii="Times New Roman" w:hAnsi="Times New Roman"/>
                <w:color w:val="EE0000"/>
                <w:sz w:val="20"/>
                <w:szCs w:val="20"/>
              </w:rPr>
              <w:t xml:space="preserve"> atskir</w:t>
            </w:r>
            <w:r w:rsidR="00170A74" w:rsidRPr="00620CD5">
              <w:rPr>
                <w:rFonts w:ascii="Times New Roman" w:hAnsi="Times New Roman"/>
                <w:color w:val="EE0000"/>
                <w:sz w:val="20"/>
                <w:szCs w:val="20"/>
              </w:rPr>
              <w:t>os</w:t>
            </w:r>
            <w:r w:rsidR="0036556A" w:rsidRPr="00620CD5">
              <w:rPr>
                <w:rFonts w:ascii="Times New Roman" w:hAnsi="Times New Roman"/>
                <w:color w:val="EE0000"/>
                <w:sz w:val="20"/>
                <w:szCs w:val="20"/>
              </w:rPr>
              <w:t xml:space="preserve"> veikl</w:t>
            </w:r>
            <w:r w:rsidR="00170A74" w:rsidRPr="00620CD5">
              <w:rPr>
                <w:rFonts w:ascii="Times New Roman" w:hAnsi="Times New Roman"/>
                <w:color w:val="EE0000"/>
                <w:sz w:val="20"/>
                <w:szCs w:val="20"/>
              </w:rPr>
              <w:t>os</w:t>
            </w:r>
            <w:r w:rsidR="0036556A" w:rsidRPr="00620CD5">
              <w:rPr>
                <w:rFonts w:ascii="Times New Roman" w:hAnsi="Times New Roman"/>
                <w:color w:val="EE0000"/>
                <w:sz w:val="20"/>
                <w:szCs w:val="20"/>
              </w:rPr>
              <w:t xml:space="preserve"> </w:t>
            </w:r>
            <w:r w:rsidR="000E1CD4" w:rsidRPr="00620CD5">
              <w:rPr>
                <w:rFonts w:ascii="Times New Roman" w:hAnsi="Times New Roman"/>
                <w:color w:val="EE0000"/>
                <w:sz w:val="20"/>
                <w:szCs w:val="20"/>
              </w:rPr>
              <w:t>„</w:t>
            </w:r>
            <w:r w:rsidR="0036556A" w:rsidRPr="00620CD5">
              <w:rPr>
                <w:rFonts w:ascii="Times New Roman" w:hAnsi="Times New Roman"/>
                <w:color w:val="EE0000"/>
                <w:sz w:val="20"/>
                <w:szCs w:val="20"/>
              </w:rPr>
              <w:t>galutinės mokslinio tyrimo rezultatų ataskaitos parengimas</w:t>
            </w:r>
            <w:r w:rsidR="000E1CD4" w:rsidRPr="00620CD5">
              <w:rPr>
                <w:rFonts w:ascii="Times New Roman" w:hAnsi="Times New Roman"/>
                <w:color w:val="EE0000"/>
                <w:sz w:val="20"/>
                <w:szCs w:val="20"/>
              </w:rPr>
              <w:t>“ dalis</w:t>
            </w:r>
            <w:r w:rsidR="0077567F" w:rsidRPr="00620CD5">
              <w:rPr>
                <w:rFonts w:ascii="Times New Roman" w:hAnsi="Times New Roman"/>
                <w:color w:val="EE0000"/>
                <w:sz w:val="20"/>
                <w:szCs w:val="20"/>
              </w:rPr>
              <w:t>.</w:t>
            </w:r>
          </w:p>
          <w:p w14:paraId="2E9D9D57" w14:textId="1FF454D5" w:rsidR="00A55839" w:rsidRPr="000E64D6" w:rsidRDefault="003F532C" w:rsidP="00424F47">
            <w:pPr>
              <w:jc w:val="both"/>
              <w:rPr>
                <w:rFonts w:ascii="Times New Roman" w:hAnsi="Times New Roman"/>
                <w:b/>
                <w:bCs/>
                <w:i/>
                <w:color w:val="EE0000"/>
                <w:sz w:val="20"/>
                <w:szCs w:val="20"/>
              </w:rPr>
            </w:pPr>
            <w:proofErr w:type="spellStart"/>
            <w:r w:rsidRPr="003F532C">
              <w:rPr>
                <w:rFonts w:ascii="Times New Roman" w:hAnsi="Times New Roman"/>
                <w:b/>
                <w:bCs/>
                <w:iCs/>
                <w:color w:val="000000" w:themeColor="text1"/>
                <w:sz w:val="20"/>
                <w:szCs w:val="20"/>
              </w:rPr>
              <w:t>No</w:t>
            </w:r>
            <w:proofErr w:type="spellEnd"/>
            <w:r w:rsidRPr="003F532C">
              <w:rPr>
                <w:rFonts w:ascii="Times New Roman" w:hAnsi="Times New Roman"/>
                <w:b/>
                <w:bCs/>
                <w:iCs/>
                <w:color w:val="000000" w:themeColor="text1"/>
                <w:sz w:val="20"/>
                <w:szCs w:val="20"/>
              </w:rPr>
              <w:t xml:space="preserve">, </w:t>
            </w:r>
            <w:proofErr w:type="spellStart"/>
            <w:r w:rsidRPr="003F532C">
              <w:rPr>
                <w:rFonts w:ascii="Times New Roman" w:hAnsi="Times New Roman"/>
                <w:b/>
                <w:bCs/>
                <w:iCs/>
                <w:color w:val="000000" w:themeColor="text1"/>
                <w:sz w:val="20"/>
                <w:szCs w:val="20"/>
              </w:rPr>
              <w:t>these</w:t>
            </w:r>
            <w:proofErr w:type="spellEnd"/>
            <w:r w:rsidRPr="003F532C">
              <w:rPr>
                <w:rFonts w:ascii="Times New Roman" w:hAnsi="Times New Roman"/>
                <w:b/>
                <w:bCs/>
                <w:iCs/>
                <w:color w:val="000000" w:themeColor="text1"/>
                <w:sz w:val="20"/>
                <w:szCs w:val="20"/>
              </w:rPr>
              <w:t xml:space="preserve"> 13 </w:t>
            </w:r>
            <w:proofErr w:type="spellStart"/>
            <w:r w:rsidRPr="003F532C">
              <w:rPr>
                <w:rFonts w:ascii="Times New Roman" w:hAnsi="Times New Roman"/>
                <w:b/>
                <w:bCs/>
                <w:iCs/>
                <w:color w:val="000000" w:themeColor="text1"/>
                <w:sz w:val="20"/>
                <w:szCs w:val="20"/>
              </w:rPr>
              <w:t>consultations</w:t>
            </w:r>
            <w:proofErr w:type="spellEnd"/>
            <w:r w:rsidRPr="003F532C">
              <w:rPr>
                <w:rFonts w:ascii="Times New Roman" w:hAnsi="Times New Roman"/>
                <w:b/>
                <w:bCs/>
                <w:iCs/>
                <w:color w:val="000000" w:themeColor="text1"/>
                <w:sz w:val="20"/>
                <w:szCs w:val="20"/>
              </w:rPr>
              <w:t xml:space="preserve"> are </w:t>
            </w:r>
            <w:proofErr w:type="spellStart"/>
            <w:r w:rsidR="00FD36BA">
              <w:rPr>
                <w:rFonts w:ascii="Times New Roman" w:hAnsi="Times New Roman"/>
                <w:b/>
                <w:bCs/>
                <w:iCs/>
                <w:color w:val="000000" w:themeColor="text1"/>
                <w:sz w:val="20"/>
                <w:szCs w:val="20"/>
              </w:rPr>
              <w:t>scheduled</w:t>
            </w:r>
            <w:proofErr w:type="spellEnd"/>
            <w:r w:rsidR="00FD36BA">
              <w:rPr>
                <w:rFonts w:ascii="Times New Roman" w:hAnsi="Times New Roman"/>
                <w:b/>
                <w:bCs/>
                <w:iCs/>
                <w:color w:val="000000" w:themeColor="text1"/>
                <w:sz w:val="20"/>
                <w:szCs w:val="20"/>
              </w:rPr>
              <w:t xml:space="preserve"> </w:t>
            </w:r>
            <w:proofErr w:type="spellStart"/>
            <w:r w:rsidR="00FD36BA">
              <w:rPr>
                <w:rFonts w:ascii="Times New Roman" w:hAnsi="Times New Roman"/>
                <w:b/>
                <w:bCs/>
                <w:iCs/>
                <w:color w:val="000000" w:themeColor="text1"/>
                <w:sz w:val="20"/>
                <w:szCs w:val="20"/>
              </w:rPr>
              <w:t>towards</w:t>
            </w:r>
            <w:proofErr w:type="spellEnd"/>
            <w:r w:rsidR="00FD36BA">
              <w:rPr>
                <w:rFonts w:ascii="Times New Roman" w:hAnsi="Times New Roman"/>
                <w:b/>
                <w:bCs/>
                <w:iCs/>
                <w:color w:val="000000" w:themeColor="text1"/>
                <w:sz w:val="20"/>
                <w:szCs w:val="20"/>
              </w:rPr>
              <w:t xml:space="preserve"> </w:t>
            </w:r>
            <w:proofErr w:type="spellStart"/>
            <w:r w:rsidR="00FD36BA">
              <w:rPr>
                <w:rFonts w:ascii="Times New Roman" w:hAnsi="Times New Roman"/>
                <w:b/>
                <w:bCs/>
                <w:iCs/>
                <w:color w:val="000000" w:themeColor="text1"/>
                <w:sz w:val="20"/>
                <w:szCs w:val="20"/>
              </w:rPr>
              <w:t>the</w:t>
            </w:r>
            <w:proofErr w:type="spellEnd"/>
            <w:r w:rsidR="00FD36BA">
              <w:rPr>
                <w:rFonts w:ascii="Times New Roman" w:hAnsi="Times New Roman"/>
                <w:b/>
                <w:bCs/>
                <w:iCs/>
                <w:color w:val="000000" w:themeColor="text1"/>
                <w:sz w:val="20"/>
                <w:szCs w:val="20"/>
              </w:rPr>
              <w:t xml:space="preserve"> </w:t>
            </w:r>
            <w:proofErr w:type="spellStart"/>
            <w:r w:rsidR="00FD36BA">
              <w:rPr>
                <w:rFonts w:ascii="Times New Roman" w:hAnsi="Times New Roman"/>
                <w:b/>
                <w:bCs/>
                <w:iCs/>
                <w:color w:val="000000" w:themeColor="text1"/>
                <w:sz w:val="20"/>
                <w:szCs w:val="20"/>
              </w:rPr>
              <w:t>end</w:t>
            </w:r>
            <w:proofErr w:type="spellEnd"/>
            <w:r w:rsidR="00FD36BA">
              <w:rPr>
                <w:rFonts w:ascii="Times New Roman" w:hAnsi="Times New Roman"/>
                <w:b/>
                <w:bCs/>
                <w:iCs/>
                <w:color w:val="000000" w:themeColor="text1"/>
                <w:sz w:val="20"/>
                <w:szCs w:val="20"/>
              </w:rPr>
              <w:t xml:space="preserve"> </w:t>
            </w:r>
            <w:proofErr w:type="spellStart"/>
            <w:r w:rsidR="00FD36BA">
              <w:rPr>
                <w:rFonts w:ascii="Times New Roman" w:hAnsi="Times New Roman"/>
                <w:b/>
                <w:bCs/>
                <w:iCs/>
                <w:color w:val="000000" w:themeColor="text1"/>
                <w:sz w:val="20"/>
                <w:szCs w:val="20"/>
              </w:rPr>
              <w:t>of</w:t>
            </w:r>
            <w:proofErr w:type="spellEnd"/>
            <w:r w:rsidR="00FD36BA">
              <w:rPr>
                <w:rFonts w:ascii="Times New Roman" w:hAnsi="Times New Roman"/>
                <w:b/>
                <w:bCs/>
                <w:iCs/>
                <w:color w:val="000000" w:themeColor="text1"/>
                <w:sz w:val="20"/>
                <w:szCs w:val="20"/>
              </w:rPr>
              <w:t xml:space="preserve"> </w:t>
            </w:r>
            <w:proofErr w:type="spellStart"/>
            <w:r w:rsidR="00FD36BA">
              <w:rPr>
                <w:rFonts w:ascii="Times New Roman" w:hAnsi="Times New Roman"/>
                <w:b/>
                <w:bCs/>
                <w:iCs/>
                <w:color w:val="000000" w:themeColor="text1"/>
                <w:sz w:val="20"/>
                <w:szCs w:val="20"/>
              </w:rPr>
              <w:t>the</w:t>
            </w:r>
            <w:proofErr w:type="spellEnd"/>
            <w:r w:rsidR="00FD36BA">
              <w:rPr>
                <w:rFonts w:ascii="Times New Roman" w:hAnsi="Times New Roman"/>
                <w:b/>
                <w:bCs/>
                <w:iCs/>
                <w:color w:val="000000" w:themeColor="text1"/>
                <w:sz w:val="20"/>
                <w:szCs w:val="20"/>
              </w:rPr>
              <w:t xml:space="preserve"> </w:t>
            </w:r>
            <w:proofErr w:type="spellStart"/>
            <w:r w:rsidR="00FD36BA">
              <w:rPr>
                <w:rFonts w:ascii="Times New Roman" w:hAnsi="Times New Roman"/>
                <w:b/>
                <w:bCs/>
                <w:iCs/>
                <w:color w:val="000000" w:themeColor="text1"/>
                <w:sz w:val="20"/>
                <w:szCs w:val="20"/>
              </w:rPr>
              <w:t>project</w:t>
            </w:r>
            <w:proofErr w:type="spellEnd"/>
            <w:r w:rsidR="00FD36BA">
              <w:rPr>
                <w:rFonts w:ascii="Times New Roman" w:hAnsi="Times New Roman"/>
                <w:b/>
                <w:bCs/>
                <w:iCs/>
                <w:color w:val="000000" w:themeColor="text1"/>
                <w:sz w:val="20"/>
                <w:szCs w:val="20"/>
              </w:rPr>
              <w:t xml:space="preserve"> </w:t>
            </w:r>
            <w:proofErr w:type="spellStart"/>
            <w:r w:rsidR="00FD36BA">
              <w:rPr>
                <w:rFonts w:ascii="Times New Roman" w:hAnsi="Times New Roman"/>
                <w:b/>
                <w:bCs/>
                <w:iCs/>
                <w:color w:val="000000" w:themeColor="text1"/>
                <w:sz w:val="20"/>
                <w:szCs w:val="20"/>
              </w:rPr>
              <w:t>and</w:t>
            </w:r>
            <w:proofErr w:type="spellEnd"/>
            <w:r w:rsidR="00FD36BA">
              <w:rPr>
                <w:rFonts w:ascii="Times New Roman" w:hAnsi="Times New Roman"/>
                <w:b/>
                <w:bCs/>
                <w:iCs/>
                <w:color w:val="000000" w:themeColor="text1"/>
                <w:sz w:val="20"/>
                <w:szCs w:val="20"/>
              </w:rPr>
              <w:t xml:space="preserve"> are </w:t>
            </w:r>
            <w:proofErr w:type="spellStart"/>
            <w:r w:rsidRPr="003F532C">
              <w:rPr>
                <w:rFonts w:ascii="Times New Roman" w:hAnsi="Times New Roman"/>
                <w:b/>
                <w:bCs/>
                <w:iCs/>
                <w:color w:val="000000" w:themeColor="text1"/>
                <w:sz w:val="20"/>
                <w:szCs w:val="20"/>
              </w:rPr>
              <w:t>separate</w:t>
            </w:r>
            <w:proofErr w:type="spellEnd"/>
            <w:r w:rsidRPr="003F532C">
              <w:rPr>
                <w:rFonts w:ascii="Times New Roman" w:hAnsi="Times New Roman"/>
                <w:b/>
                <w:bCs/>
                <w:iCs/>
                <w:color w:val="000000" w:themeColor="text1"/>
                <w:sz w:val="20"/>
                <w:szCs w:val="20"/>
              </w:rPr>
              <w:t xml:space="preserve"> </w:t>
            </w:r>
            <w:proofErr w:type="spellStart"/>
            <w:r w:rsidRPr="003F532C">
              <w:rPr>
                <w:rFonts w:ascii="Times New Roman" w:hAnsi="Times New Roman"/>
                <w:b/>
                <w:bCs/>
                <w:iCs/>
                <w:color w:val="000000" w:themeColor="text1"/>
                <w:sz w:val="20"/>
                <w:szCs w:val="20"/>
              </w:rPr>
              <w:t>activities</w:t>
            </w:r>
            <w:proofErr w:type="spellEnd"/>
            <w:r w:rsidRPr="003F532C">
              <w:rPr>
                <w:rFonts w:ascii="Times New Roman" w:hAnsi="Times New Roman"/>
                <w:b/>
                <w:bCs/>
                <w:iCs/>
                <w:color w:val="000000" w:themeColor="text1"/>
                <w:sz w:val="20"/>
                <w:szCs w:val="20"/>
              </w:rPr>
              <w:t xml:space="preserve"> </w:t>
            </w:r>
            <w:proofErr w:type="spellStart"/>
            <w:r w:rsidRPr="003F532C">
              <w:rPr>
                <w:rFonts w:ascii="Times New Roman" w:hAnsi="Times New Roman"/>
                <w:b/>
                <w:bCs/>
                <w:iCs/>
                <w:color w:val="000000" w:themeColor="text1"/>
                <w:sz w:val="20"/>
                <w:szCs w:val="20"/>
              </w:rPr>
              <w:t>that</w:t>
            </w:r>
            <w:proofErr w:type="spellEnd"/>
            <w:r w:rsidRPr="003F532C">
              <w:rPr>
                <w:rFonts w:ascii="Times New Roman" w:hAnsi="Times New Roman"/>
                <w:b/>
                <w:bCs/>
                <w:iCs/>
                <w:color w:val="000000" w:themeColor="text1"/>
                <w:sz w:val="20"/>
                <w:szCs w:val="20"/>
              </w:rPr>
              <w:t xml:space="preserve"> </w:t>
            </w:r>
            <w:proofErr w:type="spellStart"/>
            <w:r w:rsidRPr="003F532C">
              <w:rPr>
                <w:rFonts w:ascii="Times New Roman" w:hAnsi="Times New Roman"/>
                <w:b/>
                <w:bCs/>
                <w:iCs/>
                <w:color w:val="000000" w:themeColor="text1"/>
                <w:sz w:val="20"/>
                <w:szCs w:val="20"/>
              </w:rPr>
              <w:t>form</w:t>
            </w:r>
            <w:proofErr w:type="spellEnd"/>
            <w:r w:rsidRPr="003F532C">
              <w:rPr>
                <w:rFonts w:ascii="Times New Roman" w:hAnsi="Times New Roman"/>
                <w:b/>
                <w:bCs/>
                <w:iCs/>
                <w:color w:val="000000" w:themeColor="text1"/>
                <w:sz w:val="20"/>
                <w:szCs w:val="20"/>
              </w:rPr>
              <w:t xml:space="preserve"> </w:t>
            </w:r>
            <w:proofErr w:type="spellStart"/>
            <w:r w:rsidRPr="003F532C">
              <w:rPr>
                <w:rFonts w:ascii="Times New Roman" w:hAnsi="Times New Roman"/>
                <w:b/>
                <w:bCs/>
                <w:iCs/>
                <w:color w:val="000000" w:themeColor="text1"/>
                <w:sz w:val="20"/>
                <w:szCs w:val="20"/>
              </w:rPr>
              <w:t>part</w:t>
            </w:r>
            <w:proofErr w:type="spellEnd"/>
            <w:r w:rsidRPr="003F532C">
              <w:rPr>
                <w:rFonts w:ascii="Times New Roman" w:hAnsi="Times New Roman"/>
                <w:b/>
                <w:bCs/>
                <w:iCs/>
                <w:color w:val="000000" w:themeColor="text1"/>
                <w:sz w:val="20"/>
                <w:szCs w:val="20"/>
              </w:rPr>
              <w:t xml:space="preserve"> </w:t>
            </w:r>
            <w:proofErr w:type="spellStart"/>
            <w:r w:rsidRPr="003F532C">
              <w:rPr>
                <w:rFonts w:ascii="Times New Roman" w:hAnsi="Times New Roman"/>
                <w:b/>
                <w:bCs/>
                <w:iCs/>
                <w:color w:val="000000" w:themeColor="text1"/>
                <w:sz w:val="20"/>
                <w:szCs w:val="20"/>
              </w:rPr>
              <w:t>of</w:t>
            </w:r>
            <w:proofErr w:type="spellEnd"/>
            <w:r w:rsidRPr="003F532C">
              <w:rPr>
                <w:rFonts w:ascii="Times New Roman" w:hAnsi="Times New Roman"/>
                <w:b/>
                <w:bCs/>
                <w:iCs/>
                <w:color w:val="000000" w:themeColor="text1"/>
                <w:sz w:val="20"/>
                <w:szCs w:val="20"/>
              </w:rPr>
              <w:t xml:space="preserve"> </w:t>
            </w:r>
            <w:proofErr w:type="spellStart"/>
            <w:r w:rsidRPr="003F532C">
              <w:rPr>
                <w:rFonts w:ascii="Times New Roman" w:hAnsi="Times New Roman"/>
                <w:b/>
                <w:bCs/>
                <w:iCs/>
                <w:color w:val="000000" w:themeColor="text1"/>
                <w:sz w:val="20"/>
                <w:szCs w:val="20"/>
              </w:rPr>
              <w:t>the</w:t>
            </w:r>
            <w:proofErr w:type="spellEnd"/>
            <w:r w:rsidRPr="003F532C">
              <w:rPr>
                <w:rFonts w:ascii="Times New Roman" w:hAnsi="Times New Roman"/>
                <w:b/>
                <w:bCs/>
                <w:iCs/>
                <w:color w:val="000000" w:themeColor="text1"/>
                <w:sz w:val="20"/>
                <w:szCs w:val="20"/>
              </w:rPr>
              <w:t xml:space="preserve"> </w:t>
            </w:r>
            <w:proofErr w:type="spellStart"/>
            <w:r w:rsidRPr="003F532C">
              <w:rPr>
                <w:rFonts w:ascii="Times New Roman" w:hAnsi="Times New Roman"/>
                <w:b/>
                <w:bCs/>
                <w:iCs/>
                <w:color w:val="000000" w:themeColor="text1"/>
                <w:sz w:val="20"/>
                <w:szCs w:val="20"/>
              </w:rPr>
              <w:t>final</w:t>
            </w:r>
            <w:proofErr w:type="spellEnd"/>
            <w:r w:rsidRPr="003F532C">
              <w:rPr>
                <w:rFonts w:ascii="Times New Roman" w:hAnsi="Times New Roman"/>
                <w:b/>
                <w:bCs/>
                <w:iCs/>
                <w:color w:val="000000" w:themeColor="text1"/>
                <w:sz w:val="20"/>
                <w:szCs w:val="20"/>
              </w:rPr>
              <w:t xml:space="preserve"> </w:t>
            </w:r>
            <w:proofErr w:type="spellStart"/>
            <w:r w:rsidRPr="003F532C">
              <w:rPr>
                <w:rFonts w:ascii="Times New Roman" w:hAnsi="Times New Roman"/>
                <w:b/>
                <w:bCs/>
                <w:iCs/>
                <w:color w:val="000000" w:themeColor="text1"/>
                <w:sz w:val="20"/>
                <w:szCs w:val="20"/>
              </w:rPr>
              <w:t>research</w:t>
            </w:r>
            <w:proofErr w:type="spellEnd"/>
            <w:r w:rsidRPr="003F532C">
              <w:rPr>
                <w:rFonts w:ascii="Times New Roman" w:hAnsi="Times New Roman"/>
                <w:b/>
                <w:bCs/>
                <w:iCs/>
                <w:color w:val="000000" w:themeColor="text1"/>
                <w:sz w:val="20"/>
                <w:szCs w:val="20"/>
              </w:rPr>
              <w:t xml:space="preserve"> </w:t>
            </w:r>
            <w:proofErr w:type="spellStart"/>
            <w:r w:rsidRPr="003F532C">
              <w:rPr>
                <w:rFonts w:ascii="Times New Roman" w:hAnsi="Times New Roman"/>
                <w:b/>
                <w:bCs/>
                <w:iCs/>
                <w:color w:val="000000" w:themeColor="text1"/>
                <w:sz w:val="20"/>
                <w:szCs w:val="20"/>
              </w:rPr>
              <w:t>results</w:t>
            </w:r>
            <w:proofErr w:type="spellEnd"/>
            <w:r w:rsidRPr="003F532C">
              <w:rPr>
                <w:rFonts w:ascii="Times New Roman" w:hAnsi="Times New Roman"/>
                <w:b/>
                <w:bCs/>
                <w:iCs/>
                <w:color w:val="000000" w:themeColor="text1"/>
                <w:sz w:val="20"/>
                <w:szCs w:val="20"/>
              </w:rPr>
              <w:t xml:space="preserve"> </w:t>
            </w:r>
            <w:proofErr w:type="spellStart"/>
            <w:r w:rsidRPr="003F532C">
              <w:rPr>
                <w:rFonts w:ascii="Times New Roman" w:hAnsi="Times New Roman"/>
                <w:b/>
                <w:bCs/>
                <w:iCs/>
                <w:color w:val="000000" w:themeColor="text1"/>
                <w:sz w:val="20"/>
                <w:szCs w:val="20"/>
              </w:rPr>
              <w:t>report</w:t>
            </w:r>
            <w:proofErr w:type="spellEnd"/>
            <w:r w:rsidRPr="003F532C">
              <w:rPr>
                <w:rFonts w:ascii="Times New Roman" w:hAnsi="Times New Roman"/>
                <w:b/>
                <w:bCs/>
                <w:iCs/>
                <w:color w:val="000000" w:themeColor="text1"/>
                <w:sz w:val="20"/>
                <w:szCs w:val="20"/>
              </w:rPr>
              <w:t xml:space="preserve"> </w:t>
            </w:r>
            <w:proofErr w:type="spellStart"/>
            <w:r w:rsidRPr="003F532C">
              <w:rPr>
                <w:rFonts w:ascii="Times New Roman" w:hAnsi="Times New Roman"/>
                <w:b/>
                <w:bCs/>
                <w:iCs/>
                <w:color w:val="000000" w:themeColor="text1"/>
                <w:sz w:val="20"/>
                <w:szCs w:val="20"/>
              </w:rPr>
              <w:t>preparation</w:t>
            </w:r>
            <w:proofErr w:type="spellEnd"/>
            <w:r w:rsidR="00FD36BA">
              <w:rPr>
                <w:rFonts w:ascii="Times New Roman" w:hAnsi="Times New Roman"/>
                <w:b/>
                <w:bCs/>
                <w:iCs/>
                <w:color w:val="000000" w:themeColor="text1"/>
                <w:sz w:val="20"/>
                <w:szCs w:val="20"/>
              </w:rPr>
              <w:t>.</w:t>
            </w:r>
          </w:p>
        </w:tc>
      </w:tr>
      <w:tr w:rsidR="00424F47" w:rsidRPr="003E1CA5" w14:paraId="24A0A854" w14:textId="77777777" w:rsidTr="00EA2B44">
        <w:trPr>
          <w:trHeight w:val="16"/>
        </w:trPr>
        <w:tc>
          <w:tcPr>
            <w:tcW w:w="0" w:type="auto"/>
            <w:vAlign w:val="center"/>
          </w:tcPr>
          <w:p w14:paraId="62A92AC5" w14:textId="77777777" w:rsidR="00424F47" w:rsidRPr="00EA2B44" w:rsidRDefault="00424F47" w:rsidP="00424F47">
            <w:pPr>
              <w:pStyle w:val="Sraopastraipa"/>
              <w:numPr>
                <w:ilvl w:val="0"/>
                <w:numId w:val="1"/>
              </w:numPr>
              <w:tabs>
                <w:tab w:val="left" w:pos="0"/>
              </w:tabs>
              <w:spacing w:after="0" w:line="240" w:lineRule="auto"/>
              <w:ind w:left="0" w:firstLine="0"/>
              <w:jc w:val="center"/>
              <w:rPr>
                <w:rFonts w:ascii="Times New Roman" w:hAnsi="Times New Roman"/>
                <w:i/>
                <w:sz w:val="20"/>
                <w:szCs w:val="20"/>
              </w:rPr>
            </w:pPr>
          </w:p>
        </w:tc>
        <w:tc>
          <w:tcPr>
            <w:tcW w:w="3228" w:type="dxa"/>
            <w:vMerge/>
            <w:vAlign w:val="center"/>
          </w:tcPr>
          <w:p w14:paraId="0EDAA980" w14:textId="77777777" w:rsidR="00424F47" w:rsidRPr="00EA2B44" w:rsidRDefault="00424F47" w:rsidP="00424F47">
            <w:pPr>
              <w:jc w:val="both"/>
              <w:rPr>
                <w:sz w:val="20"/>
                <w:szCs w:val="20"/>
              </w:rPr>
            </w:pPr>
          </w:p>
        </w:tc>
        <w:tc>
          <w:tcPr>
            <w:tcW w:w="3148" w:type="dxa"/>
          </w:tcPr>
          <w:p w14:paraId="75A5567C" w14:textId="7B234C66" w:rsidR="00424F47" w:rsidRPr="00EA2B44" w:rsidRDefault="00424F47" w:rsidP="00424F47">
            <w:pPr>
              <w:jc w:val="both"/>
              <w:rPr>
                <w:rFonts w:ascii="Times New Roman" w:hAnsi="Times New Roman"/>
                <w:i/>
                <w:sz w:val="20"/>
                <w:szCs w:val="20"/>
              </w:rPr>
            </w:pPr>
            <w:proofErr w:type="spellStart"/>
            <w:r w:rsidRPr="00EA2B44">
              <w:rPr>
                <w:rFonts w:ascii="Times New Roman" w:hAnsi="Times New Roman"/>
                <w:i/>
                <w:sz w:val="20"/>
                <w:szCs w:val="20"/>
              </w:rPr>
              <w:t>Appendix</w:t>
            </w:r>
            <w:proofErr w:type="spellEnd"/>
            <w:r w:rsidRPr="00EA2B44">
              <w:rPr>
                <w:rFonts w:ascii="Times New Roman" w:hAnsi="Times New Roman"/>
                <w:i/>
                <w:sz w:val="20"/>
                <w:szCs w:val="20"/>
              </w:rPr>
              <w:t xml:space="preserve"> 2:</w:t>
            </w:r>
          </w:p>
        </w:tc>
        <w:tc>
          <w:tcPr>
            <w:tcW w:w="3465" w:type="dxa"/>
          </w:tcPr>
          <w:p w14:paraId="62F3BBB8" w14:textId="6381F2DD" w:rsidR="00424F47" w:rsidRPr="00EA2B44" w:rsidRDefault="00424F47" w:rsidP="00424F47">
            <w:pPr>
              <w:jc w:val="both"/>
              <w:rPr>
                <w:rFonts w:ascii="Times New Roman" w:hAnsi="Times New Roman"/>
                <w:i/>
                <w:sz w:val="20"/>
                <w:szCs w:val="20"/>
              </w:rPr>
            </w:pPr>
            <w:r w:rsidRPr="0067165D">
              <w:rPr>
                <w:rFonts w:ascii="Times New Roman" w:hAnsi="Times New Roman"/>
                <w:b/>
                <w:bCs/>
                <w:i/>
                <w:sz w:val="20"/>
                <w:szCs w:val="20"/>
              </w:rPr>
              <w:t>Priedas Nr. 2:</w:t>
            </w:r>
          </w:p>
        </w:tc>
        <w:tc>
          <w:tcPr>
            <w:tcW w:w="3650" w:type="dxa"/>
          </w:tcPr>
          <w:p w14:paraId="3B75789B" w14:textId="77777777" w:rsidR="00424F47" w:rsidRPr="000E64D6" w:rsidRDefault="00424F47" w:rsidP="00424F47">
            <w:pPr>
              <w:jc w:val="both"/>
              <w:rPr>
                <w:rFonts w:ascii="Times New Roman" w:hAnsi="Times New Roman"/>
                <w:b/>
                <w:bCs/>
                <w:i/>
                <w:color w:val="EE0000"/>
                <w:sz w:val="20"/>
                <w:szCs w:val="20"/>
              </w:rPr>
            </w:pPr>
          </w:p>
        </w:tc>
      </w:tr>
      <w:tr w:rsidR="00424F47" w:rsidRPr="003E1CA5" w14:paraId="1F3791A4" w14:textId="77777777" w:rsidTr="00EA2B44">
        <w:trPr>
          <w:trHeight w:val="16"/>
        </w:trPr>
        <w:tc>
          <w:tcPr>
            <w:tcW w:w="0" w:type="auto"/>
            <w:vAlign w:val="center"/>
          </w:tcPr>
          <w:p w14:paraId="7970E2F8" w14:textId="77777777" w:rsidR="00424F47" w:rsidRPr="00EA2B44" w:rsidRDefault="00424F47" w:rsidP="00424F47">
            <w:pPr>
              <w:pStyle w:val="Sraopastraipa"/>
              <w:numPr>
                <w:ilvl w:val="0"/>
                <w:numId w:val="1"/>
              </w:numPr>
              <w:tabs>
                <w:tab w:val="left" w:pos="0"/>
              </w:tabs>
              <w:spacing w:after="0" w:line="240" w:lineRule="auto"/>
              <w:ind w:left="0" w:firstLine="0"/>
              <w:jc w:val="center"/>
              <w:rPr>
                <w:rFonts w:ascii="Times New Roman" w:hAnsi="Times New Roman"/>
                <w:i/>
                <w:sz w:val="20"/>
                <w:szCs w:val="20"/>
              </w:rPr>
            </w:pPr>
          </w:p>
        </w:tc>
        <w:tc>
          <w:tcPr>
            <w:tcW w:w="3228" w:type="dxa"/>
            <w:vMerge/>
            <w:vAlign w:val="center"/>
          </w:tcPr>
          <w:p w14:paraId="7AC031EF" w14:textId="77777777" w:rsidR="00424F47" w:rsidRPr="00EA2B44" w:rsidRDefault="00424F47" w:rsidP="00424F47">
            <w:pPr>
              <w:jc w:val="both"/>
              <w:rPr>
                <w:sz w:val="20"/>
                <w:szCs w:val="20"/>
              </w:rPr>
            </w:pPr>
          </w:p>
        </w:tc>
        <w:tc>
          <w:tcPr>
            <w:tcW w:w="3148" w:type="dxa"/>
          </w:tcPr>
          <w:p w14:paraId="3A48A91E" w14:textId="022CE1C5" w:rsidR="00424F47" w:rsidRPr="00EA2B44" w:rsidRDefault="00424F47" w:rsidP="00424F47">
            <w:pPr>
              <w:jc w:val="both"/>
              <w:rPr>
                <w:rFonts w:ascii="Times New Roman" w:hAnsi="Times New Roman"/>
                <w:i/>
                <w:sz w:val="20"/>
                <w:szCs w:val="20"/>
              </w:rPr>
            </w:pPr>
            <w:proofErr w:type="spellStart"/>
            <w:r w:rsidRPr="00EA2B44">
              <w:rPr>
                <w:rFonts w:ascii="Times New Roman" w:hAnsi="Times New Roman"/>
                <w:i/>
                <w:sz w:val="20"/>
                <w:szCs w:val="20"/>
              </w:rPr>
              <w:t>Seminar</w:t>
            </w:r>
            <w:proofErr w:type="spellEnd"/>
            <w:r w:rsidRPr="00EA2B44">
              <w:rPr>
                <w:rFonts w:ascii="Times New Roman" w:hAnsi="Times New Roman"/>
                <w:i/>
                <w:sz w:val="20"/>
                <w:szCs w:val="20"/>
              </w:rPr>
              <w:t xml:space="preserve"> 1. </w:t>
            </w:r>
            <w:proofErr w:type="spellStart"/>
            <w:r w:rsidRPr="00EA2B44">
              <w:rPr>
                <w:rFonts w:ascii="Times New Roman" w:hAnsi="Times New Roman"/>
                <w:i/>
                <w:sz w:val="20"/>
                <w:szCs w:val="20"/>
              </w:rPr>
              <w:t>Stage</w:t>
            </w:r>
            <w:proofErr w:type="spellEnd"/>
            <w:r w:rsidRPr="00EA2B44">
              <w:rPr>
                <w:rFonts w:ascii="Times New Roman" w:hAnsi="Times New Roman"/>
                <w:i/>
                <w:sz w:val="20"/>
                <w:szCs w:val="20"/>
              </w:rPr>
              <w:t xml:space="preserve"> 1: </w:t>
            </w:r>
            <w:proofErr w:type="spellStart"/>
            <w:r w:rsidRPr="00EA2B44">
              <w:rPr>
                <w:rFonts w:ascii="Times New Roman" w:hAnsi="Times New Roman"/>
                <w:i/>
                <w:sz w:val="20"/>
                <w:szCs w:val="20"/>
              </w:rPr>
              <w:t>Depending</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on</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the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preconditions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skills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of</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participants</w:t>
            </w:r>
            <w:proofErr w:type="spellEnd"/>
            <w:r w:rsidRPr="00EA2B44">
              <w:rPr>
                <w:rFonts w:ascii="Times New Roman" w:hAnsi="Times New Roman"/>
                <w:i/>
                <w:sz w:val="20"/>
                <w:szCs w:val="20"/>
              </w:rPr>
              <w:t xml:space="preserve">; 3 </w:t>
            </w:r>
            <w:proofErr w:type="spellStart"/>
            <w:r w:rsidRPr="00EA2B44">
              <w:rPr>
                <w:rFonts w:ascii="Times New Roman" w:hAnsi="Times New Roman"/>
                <w:i/>
                <w:sz w:val="20"/>
                <w:szCs w:val="20"/>
              </w:rPr>
              <w:t>days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workshop</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we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cannot</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promise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mastery</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of</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basics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of</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statistical</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skills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Further</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we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have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no</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expertise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in</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the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details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of</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qualitative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research</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Regarding</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the</w:t>
            </w:r>
            <w:proofErr w:type="spellEnd"/>
            <w:r w:rsidRPr="00EA2B44">
              <w:rPr>
                <w:rFonts w:ascii="Times New Roman" w:hAnsi="Times New Roman"/>
                <w:i/>
                <w:sz w:val="20"/>
                <w:szCs w:val="20"/>
              </w:rPr>
              <w:t xml:space="preserve"> data </w:t>
            </w:r>
            <w:proofErr w:type="spellStart"/>
            <w:r w:rsidRPr="00EA2B44">
              <w:rPr>
                <w:rFonts w:ascii="Times New Roman" w:hAnsi="Times New Roman"/>
                <w:i/>
                <w:sz w:val="20"/>
                <w:szCs w:val="20"/>
              </w:rPr>
              <w:t>analysis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methods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we‘d</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expect</w:t>
            </w:r>
            <w:proofErr w:type="spellEnd"/>
            <w:r w:rsidRPr="00EA2B44">
              <w:rPr>
                <w:rFonts w:ascii="Times New Roman" w:hAnsi="Times New Roman"/>
                <w:i/>
                <w:sz w:val="20"/>
                <w:szCs w:val="20"/>
              </w:rPr>
              <w:t xml:space="preserve"> to </w:t>
            </w:r>
            <w:proofErr w:type="spellStart"/>
            <w:r w:rsidRPr="00EA2B44">
              <w:rPr>
                <w:rFonts w:ascii="Times New Roman" w:hAnsi="Times New Roman"/>
                <w:i/>
                <w:sz w:val="20"/>
                <w:szCs w:val="20"/>
              </w:rPr>
              <w:t>give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only</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an</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overview</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over</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the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different</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methods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rather</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than</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training</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their</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application</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not</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feasible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within</w:t>
            </w:r>
            <w:proofErr w:type="spellEnd"/>
            <w:r w:rsidRPr="00EA2B44">
              <w:rPr>
                <w:rFonts w:ascii="Times New Roman" w:hAnsi="Times New Roman"/>
                <w:i/>
                <w:sz w:val="20"/>
                <w:szCs w:val="20"/>
              </w:rPr>
              <w:t xml:space="preserve"> 3 </w:t>
            </w:r>
            <w:proofErr w:type="spellStart"/>
            <w:r w:rsidRPr="00EA2B44">
              <w:rPr>
                <w:rFonts w:ascii="Times New Roman" w:hAnsi="Times New Roman"/>
                <w:i/>
                <w:sz w:val="20"/>
                <w:szCs w:val="20"/>
              </w:rPr>
              <w:t>days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Except</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of</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these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points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we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can</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deliver</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the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noted</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contents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See</w:t>
            </w:r>
            <w:proofErr w:type="spellEnd"/>
            <w:r w:rsidRPr="00EA2B44">
              <w:rPr>
                <w:rFonts w:ascii="Times New Roman" w:hAnsi="Times New Roman"/>
                <w:i/>
                <w:sz w:val="20"/>
                <w:szCs w:val="20"/>
              </w:rPr>
              <w:t xml:space="preserve"> also </w:t>
            </w:r>
            <w:proofErr w:type="spellStart"/>
            <w:r w:rsidRPr="00EA2B44">
              <w:rPr>
                <w:rFonts w:ascii="Times New Roman" w:hAnsi="Times New Roman"/>
                <w:i/>
                <w:sz w:val="20"/>
                <w:szCs w:val="20"/>
              </w:rPr>
              <w:t>our</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general</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recommendation</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above</w:t>
            </w:r>
            <w:proofErr w:type="spellEnd"/>
            <w:r w:rsidRPr="00EA2B44">
              <w:rPr>
                <w:rFonts w:ascii="Times New Roman" w:hAnsi="Times New Roman"/>
                <w:i/>
                <w:sz w:val="20"/>
                <w:szCs w:val="20"/>
              </w:rPr>
              <w:t>.</w:t>
            </w:r>
          </w:p>
        </w:tc>
        <w:tc>
          <w:tcPr>
            <w:tcW w:w="3465" w:type="dxa"/>
          </w:tcPr>
          <w:p w14:paraId="108CB127" w14:textId="4A05FF40" w:rsidR="00424F47" w:rsidRPr="00EA2B44" w:rsidRDefault="00424F47" w:rsidP="00424F47">
            <w:pPr>
              <w:jc w:val="both"/>
              <w:rPr>
                <w:rFonts w:ascii="Times New Roman" w:hAnsi="Times New Roman"/>
                <w:b/>
                <w:bCs/>
                <w:i/>
                <w:sz w:val="20"/>
                <w:szCs w:val="20"/>
              </w:rPr>
            </w:pPr>
            <w:r w:rsidRPr="0067165D">
              <w:rPr>
                <w:rFonts w:ascii="Times New Roman" w:hAnsi="Times New Roman"/>
                <w:b/>
                <w:bCs/>
                <w:i/>
                <w:sz w:val="20"/>
                <w:szCs w:val="20"/>
              </w:rPr>
              <w:t>Seminaras 1, 1 etapas:</w:t>
            </w:r>
            <w:r w:rsidRPr="0067165D">
              <w:rPr>
                <w:rFonts w:ascii="Times New Roman" w:hAnsi="Times New Roman"/>
                <w:i/>
                <w:sz w:val="20"/>
                <w:szCs w:val="20"/>
              </w:rPr>
              <w:t xml:space="preserve"> Atsižvelgiant į prielaidas (dalyvių įgūdžiai; 3 dienų seminaras), negalime pažadėti „statistinių įgūdžių pagrindų įvaldymo“. Taip pat neturime kompetencijos kokybinio tyrimo srityje. Kalbant apie duomenų analizės metodus, galėtume pateikti tik apžvalgą, o ne mokymus, kaip juos taikyti (tai neįmanoma per 3 dienas). Išskyrus šiuos punktus, galime įgyvendinti nurodytą turinį. Žr. taip pat bendrą rekomendaciją aukščiau.</w:t>
            </w:r>
          </w:p>
        </w:tc>
        <w:tc>
          <w:tcPr>
            <w:tcW w:w="3650" w:type="dxa"/>
          </w:tcPr>
          <w:p w14:paraId="0F758BBD" w14:textId="0415867F" w:rsidR="00424F47" w:rsidRPr="00620CD5" w:rsidRDefault="006C2FFF" w:rsidP="00424F47">
            <w:pPr>
              <w:jc w:val="both"/>
              <w:rPr>
                <w:rFonts w:ascii="Times New Roman" w:hAnsi="Times New Roman"/>
                <w:color w:val="EE0000"/>
                <w:sz w:val="20"/>
                <w:szCs w:val="20"/>
              </w:rPr>
            </w:pPr>
            <w:r w:rsidRPr="00620CD5">
              <w:rPr>
                <w:rFonts w:ascii="Times New Roman" w:hAnsi="Times New Roman"/>
                <w:color w:val="EE0000"/>
                <w:sz w:val="20"/>
                <w:szCs w:val="20"/>
              </w:rPr>
              <w:t>Seminaro t</w:t>
            </w:r>
            <w:r w:rsidR="007F69DA" w:rsidRPr="00620CD5">
              <w:rPr>
                <w:rFonts w:ascii="Times New Roman" w:hAnsi="Times New Roman"/>
                <w:color w:val="EE0000"/>
                <w:sz w:val="20"/>
                <w:szCs w:val="20"/>
              </w:rPr>
              <w:t>urinys patikslintas</w:t>
            </w:r>
          </w:p>
          <w:p w14:paraId="0074E310" w14:textId="7B672673" w:rsidR="00523D89" w:rsidRPr="000E64D6" w:rsidRDefault="00FD36BA" w:rsidP="00424F47">
            <w:pPr>
              <w:jc w:val="both"/>
              <w:rPr>
                <w:rFonts w:ascii="Times New Roman" w:hAnsi="Times New Roman"/>
                <w:b/>
                <w:bCs/>
                <w:i/>
                <w:color w:val="EE0000"/>
                <w:sz w:val="20"/>
                <w:szCs w:val="20"/>
              </w:rPr>
            </w:pPr>
            <w:proofErr w:type="spellStart"/>
            <w:r>
              <w:rPr>
                <w:rFonts w:ascii="Times New Roman" w:hAnsi="Times New Roman"/>
                <w:b/>
                <w:bCs/>
                <w:iCs/>
                <w:color w:val="000000" w:themeColor="text1"/>
                <w:sz w:val="20"/>
                <w:szCs w:val="20"/>
              </w:rPr>
              <w:t>Seminar</w:t>
            </w:r>
            <w:proofErr w:type="spellEnd"/>
            <w:r>
              <w:rPr>
                <w:rFonts w:ascii="Times New Roman" w:hAnsi="Times New Roman"/>
                <w:b/>
                <w:bCs/>
                <w:iCs/>
                <w:color w:val="000000" w:themeColor="text1"/>
                <w:sz w:val="20"/>
                <w:szCs w:val="20"/>
              </w:rPr>
              <w:t xml:space="preserve"> </w:t>
            </w:r>
            <w:proofErr w:type="spellStart"/>
            <w:r>
              <w:rPr>
                <w:rFonts w:ascii="Times New Roman" w:hAnsi="Times New Roman"/>
                <w:b/>
                <w:bCs/>
                <w:iCs/>
                <w:color w:val="000000" w:themeColor="text1"/>
                <w:sz w:val="20"/>
                <w:szCs w:val="20"/>
              </w:rPr>
              <w:t>c</w:t>
            </w:r>
            <w:r w:rsidR="00523D89" w:rsidRPr="00523D89">
              <w:rPr>
                <w:rFonts w:ascii="Times New Roman" w:hAnsi="Times New Roman"/>
                <w:b/>
                <w:bCs/>
                <w:iCs/>
                <w:color w:val="000000" w:themeColor="text1"/>
                <w:sz w:val="20"/>
                <w:szCs w:val="20"/>
              </w:rPr>
              <w:t>ontent</w:t>
            </w:r>
            <w:proofErr w:type="spellEnd"/>
            <w:r w:rsidR="00523D89" w:rsidRPr="00523D89">
              <w:rPr>
                <w:rFonts w:ascii="Times New Roman" w:hAnsi="Times New Roman"/>
                <w:b/>
                <w:bCs/>
                <w:iCs/>
                <w:color w:val="000000" w:themeColor="text1"/>
                <w:sz w:val="20"/>
                <w:szCs w:val="20"/>
              </w:rPr>
              <w:t xml:space="preserve"> </w:t>
            </w:r>
            <w:proofErr w:type="spellStart"/>
            <w:r>
              <w:rPr>
                <w:rFonts w:ascii="Times New Roman" w:hAnsi="Times New Roman"/>
                <w:b/>
                <w:bCs/>
                <w:iCs/>
                <w:color w:val="000000" w:themeColor="text1"/>
                <w:sz w:val="20"/>
                <w:szCs w:val="20"/>
              </w:rPr>
              <w:t>has</w:t>
            </w:r>
            <w:proofErr w:type="spellEnd"/>
            <w:r>
              <w:rPr>
                <w:rFonts w:ascii="Times New Roman" w:hAnsi="Times New Roman"/>
                <w:b/>
                <w:bCs/>
                <w:iCs/>
                <w:color w:val="000000" w:themeColor="text1"/>
                <w:sz w:val="20"/>
                <w:szCs w:val="20"/>
              </w:rPr>
              <w:t xml:space="preserve"> </w:t>
            </w:r>
            <w:proofErr w:type="spellStart"/>
            <w:r>
              <w:rPr>
                <w:rFonts w:ascii="Times New Roman" w:hAnsi="Times New Roman"/>
                <w:b/>
                <w:bCs/>
                <w:iCs/>
                <w:color w:val="000000" w:themeColor="text1"/>
                <w:sz w:val="20"/>
                <w:szCs w:val="20"/>
              </w:rPr>
              <w:t>been</w:t>
            </w:r>
            <w:proofErr w:type="spellEnd"/>
            <w:r>
              <w:rPr>
                <w:rFonts w:ascii="Times New Roman" w:hAnsi="Times New Roman"/>
                <w:b/>
                <w:bCs/>
                <w:iCs/>
                <w:color w:val="000000" w:themeColor="text1"/>
                <w:sz w:val="20"/>
                <w:szCs w:val="20"/>
              </w:rPr>
              <w:t xml:space="preserve"> </w:t>
            </w:r>
            <w:proofErr w:type="spellStart"/>
            <w:r w:rsidR="00523D89" w:rsidRPr="00523D89">
              <w:rPr>
                <w:rFonts w:ascii="Times New Roman" w:hAnsi="Times New Roman"/>
                <w:b/>
                <w:bCs/>
                <w:iCs/>
                <w:color w:val="000000" w:themeColor="text1"/>
                <w:sz w:val="20"/>
                <w:szCs w:val="20"/>
              </w:rPr>
              <w:t>revised</w:t>
            </w:r>
            <w:proofErr w:type="spellEnd"/>
            <w:r>
              <w:rPr>
                <w:rFonts w:ascii="Times New Roman" w:hAnsi="Times New Roman"/>
                <w:b/>
                <w:bCs/>
                <w:iCs/>
                <w:color w:val="000000" w:themeColor="text1"/>
                <w:sz w:val="20"/>
                <w:szCs w:val="20"/>
              </w:rPr>
              <w:t xml:space="preserve"> per </w:t>
            </w:r>
            <w:proofErr w:type="spellStart"/>
            <w:r>
              <w:rPr>
                <w:rFonts w:ascii="Times New Roman" w:hAnsi="Times New Roman"/>
                <w:b/>
                <w:bCs/>
                <w:iCs/>
                <w:color w:val="000000" w:themeColor="text1"/>
                <w:sz w:val="20"/>
                <w:szCs w:val="20"/>
              </w:rPr>
              <w:t>comment</w:t>
            </w:r>
            <w:proofErr w:type="spellEnd"/>
            <w:r>
              <w:rPr>
                <w:rFonts w:ascii="Times New Roman" w:hAnsi="Times New Roman"/>
                <w:b/>
                <w:bCs/>
                <w:iCs/>
                <w:color w:val="000000" w:themeColor="text1"/>
                <w:sz w:val="20"/>
                <w:szCs w:val="20"/>
              </w:rPr>
              <w:t>.</w:t>
            </w:r>
          </w:p>
        </w:tc>
      </w:tr>
      <w:tr w:rsidR="00424F47" w:rsidRPr="003E1CA5" w14:paraId="56B4DC31" w14:textId="77777777" w:rsidTr="00EA2B44">
        <w:trPr>
          <w:trHeight w:val="16"/>
        </w:trPr>
        <w:tc>
          <w:tcPr>
            <w:tcW w:w="0" w:type="auto"/>
            <w:vAlign w:val="center"/>
          </w:tcPr>
          <w:p w14:paraId="0AE226AA" w14:textId="77777777" w:rsidR="00424F47" w:rsidRPr="00EA2B44" w:rsidRDefault="00424F47" w:rsidP="00424F47">
            <w:pPr>
              <w:pStyle w:val="Sraopastraipa"/>
              <w:numPr>
                <w:ilvl w:val="0"/>
                <w:numId w:val="1"/>
              </w:numPr>
              <w:tabs>
                <w:tab w:val="left" w:pos="0"/>
              </w:tabs>
              <w:spacing w:after="0" w:line="240" w:lineRule="auto"/>
              <w:ind w:left="0" w:firstLine="0"/>
              <w:jc w:val="center"/>
              <w:rPr>
                <w:rFonts w:ascii="Times New Roman" w:hAnsi="Times New Roman"/>
                <w:i/>
                <w:sz w:val="20"/>
                <w:szCs w:val="20"/>
              </w:rPr>
            </w:pPr>
          </w:p>
        </w:tc>
        <w:tc>
          <w:tcPr>
            <w:tcW w:w="3228" w:type="dxa"/>
            <w:vMerge/>
            <w:vAlign w:val="center"/>
          </w:tcPr>
          <w:p w14:paraId="20F20EF1" w14:textId="77777777" w:rsidR="00424F47" w:rsidRPr="00EA2B44" w:rsidRDefault="00424F47" w:rsidP="00424F47">
            <w:pPr>
              <w:jc w:val="both"/>
              <w:rPr>
                <w:sz w:val="20"/>
                <w:szCs w:val="20"/>
              </w:rPr>
            </w:pPr>
          </w:p>
        </w:tc>
        <w:tc>
          <w:tcPr>
            <w:tcW w:w="3148" w:type="dxa"/>
          </w:tcPr>
          <w:p w14:paraId="0133FC76" w14:textId="158914FF" w:rsidR="00424F47" w:rsidRPr="00EA2B44" w:rsidRDefault="00424F47" w:rsidP="00424F47">
            <w:pPr>
              <w:jc w:val="both"/>
              <w:rPr>
                <w:rFonts w:ascii="Times New Roman" w:hAnsi="Times New Roman"/>
                <w:i/>
                <w:sz w:val="20"/>
                <w:szCs w:val="20"/>
              </w:rPr>
            </w:pPr>
            <w:proofErr w:type="spellStart"/>
            <w:r w:rsidRPr="00EA2B44">
              <w:rPr>
                <w:rFonts w:ascii="Times New Roman" w:hAnsi="Times New Roman"/>
                <w:i/>
                <w:sz w:val="20"/>
                <w:szCs w:val="20"/>
              </w:rPr>
              <w:t>Seminar</w:t>
            </w:r>
            <w:proofErr w:type="spellEnd"/>
            <w:r w:rsidRPr="00EA2B44">
              <w:rPr>
                <w:rFonts w:ascii="Times New Roman" w:hAnsi="Times New Roman"/>
                <w:i/>
                <w:sz w:val="20"/>
                <w:szCs w:val="20"/>
              </w:rPr>
              <w:t xml:space="preserve"> 3, </w:t>
            </w:r>
            <w:proofErr w:type="spellStart"/>
            <w:r w:rsidRPr="00EA2B44">
              <w:rPr>
                <w:rFonts w:ascii="Times New Roman" w:hAnsi="Times New Roman"/>
                <w:i/>
                <w:sz w:val="20"/>
                <w:szCs w:val="20"/>
              </w:rPr>
              <w:t>Stage</w:t>
            </w:r>
            <w:proofErr w:type="spellEnd"/>
            <w:r w:rsidRPr="00EA2B44">
              <w:rPr>
                <w:rFonts w:ascii="Times New Roman" w:hAnsi="Times New Roman"/>
                <w:i/>
                <w:sz w:val="20"/>
                <w:szCs w:val="20"/>
              </w:rPr>
              <w:t xml:space="preserve"> 2, </w:t>
            </w:r>
            <w:proofErr w:type="spellStart"/>
            <w:r w:rsidRPr="00EA2B44">
              <w:rPr>
                <w:rFonts w:ascii="Times New Roman" w:hAnsi="Times New Roman"/>
                <w:i/>
                <w:sz w:val="20"/>
                <w:szCs w:val="20"/>
              </w:rPr>
              <w:t>last</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bullet</w:t>
            </w:r>
            <w:proofErr w:type="spellEnd"/>
            <w:r w:rsidRPr="00EA2B44">
              <w:rPr>
                <w:rFonts w:ascii="Times New Roman" w:hAnsi="Times New Roman"/>
                <w:i/>
                <w:sz w:val="20"/>
                <w:szCs w:val="20"/>
              </w:rPr>
              <w:t xml:space="preserve">: It </w:t>
            </w:r>
            <w:proofErr w:type="spellStart"/>
            <w:r w:rsidRPr="00EA2B44">
              <w:rPr>
                <w:rFonts w:ascii="Times New Roman" w:hAnsi="Times New Roman"/>
                <w:i/>
                <w:sz w:val="20"/>
                <w:szCs w:val="20"/>
              </w:rPr>
              <w:t>is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impossible</w:t>
            </w:r>
            <w:proofErr w:type="spellEnd"/>
            <w:r w:rsidRPr="00EA2B44">
              <w:rPr>
                <w:rFonts w:ascii="Times New Roman" w:hAnsi="Times New Roman"/>
                <w:i/>
                <w:sz w:val="20"/>
                <w:szCs w:val="20"/>
              </w:rPr>
              <w:t xml:space="preserve"> to </w:t>
            </w:r>
            <w:proofErr w:type="spellStart"/>
            <w:r w:rsidRPr="00EA2B44">
              <w:rPr>
                <w:rFonts w:ascii="Times New Roman" w:hAnsi="Times New Roman"/>
                <w:i/>
                <w:sz w:val="20"/>
                <w:szCs w:val="20"/>
              </w:rPr>
              <w:t>prepare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the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mentioned</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literature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review</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within</w:t>
            </w:r>
            <w:proofErr w:type="spellEnd"/>
            <w:r w:rsidRPr="00EA2B44">
              <w:rPr>
                <w:rFonts w:ascii="Times New Roman" w:hAnsi="Times New Roman"/>
                <w:i/>
                <w:sz w:val="20"/>
                <w:szCs w:val="20"/>
              </w:rPr>
              <w:t xml:space="preserve"> 3 </w:t>
            </w:r>
            <w:proofErr w:type="spellStart"/>
            <w:r w:rsidRPr="00EA2B44">
              <w:rPr>
                <w:rFonts w:ascii="Times New Roman" w:hAnsi="Times New Roman"/>
                <w:i/>
                <w:sz w:val="20"/>
                <w:szCs w:val="20"/>
              </w:rPr>
              <w:t>days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however</w:t>
            </w:r>
            <w:proofErr w:type="spellEnd"/>
            <w:r w:rsidRPr="00EA2B44">
              <w:rPr>
                <w:rFonts w:ascii="Times New Roman" w:hAnsi="Times New Roman"/>
                <w:i/>
                <w:sz w:val="20"/>
                <w:szCs w:val="20"/>
              </w:rPr>
              <w:t xml:space="preserve">, it </w:t>
            </w:r>
            <w:proofErr w:type="spellStart"/>
            <w:r w:rsidRPr="00EA2B44">
              <w:rPr>
                <w:rFonts w:ascii="Times New Roman" w:hAnsi="Times New Roman"/>
                <w:i/>
                <w:sz w:val="20"/>
                <w:szCs w:val="20"/>
              </w:rPr>
              <w:t>is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possible</w:t>
            </w:r>
            <w:proofErr w:type="spellEnd"/>
            <w:r w:rsidRPr="00EA2B44">
              <w:rPr>
                <w:rFonts w:ascii="Times New Roman" w:hAnsi="Times New Roman"/>
                <w:i/>
                <w:sz w:val="20"/>
                <w:szCs w:val="20"/>
              </w:rPr>
              <w:t xml:space="preserve"> to </w:t>
            </w:r>
            <w:proofErr w:type="spellStart"/>
            <w:r w:rsidRPr="00EA2B44">
              <w:rPr>
                <w:rFonts w:ascii="Times New Roman" w:hAnsi="Times New Roman"/>
                <w:i/>
                <w:sz w:val="20"/>
                <w:szCs w:val="20"/>
              </w:rPr>
              <w:t>come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up</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with</w:t>
            </w:r>
            <w:proofErr w:type="spellEnd"/>
            <w:r w:rsidRPr="00EA2B44">
              <w:rPr>
                <w:rFonts w:ascii="Times New Roman" w:hAnsi="Times New Roman"/>
                <w:i/>
                <w:sz w:val="20"/>
                <w:szCs w:val="20"/>
              </w:rPr>
              <w:t xml:space="preserve"> a </w:t>
            </w:r>
            <w:proofErr w:type="spellStart"/>
            <w:r w:rsidRPr="00EA2B44">
              <w:rPr>
                <w:rFonts w:ascii="Times New Roman" w:hAnsi="Times New Roman"/>
                <w:i/>
                <w:sz w:val="20"/>
                <w:szCs w:val="20"/>
              </w:rPr>
              <w:t>systematic</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approach</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and</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structure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as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well</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as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starting</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the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review</w:t>
            </w:r>
            <w:proofErr w:type="spellEnd"/>
            <w:r w:rsidRPr="00EA2B44">
              <w:rPr>
                <w:rFonts w:ascii="Times New Roman" w:hAnsi="Times New Roman"/>
                <w:i/>
                <w:sz w:val="20"/>
                <w:szCs w:val="20"/>
              </w:rPr>
              <w:t>.</w:t>
            </w:r>
          </w:p>
        </w:tc>
        <w:tc>
          <w:tcPr>
            <w:tcW w:w="3465" w:type="dxa"/>
          </w:tcPr>
          <w:p w14:paraId="4268E43A" w14:textId="342F525D" w:rsidR="00424F47" w:rsidRPr="00EA2B44" w:rsidRDefault="00424F47" w:rsidP="00424F47">
            <w:pPr>
              <w:jc w:val="both"/>
              <w:rPr>
                <w:rFonts w:ascii="Times New Roman" w:hAnsi="Times New Roman"/>
                <w:i/>
                <w:sz w:val="20"/>
                <w:szCs w:val="20"/>
              </w:rPr>
            </w:pPr>
            <w:r w:rsidRPr="0067165D">
              <w:rPr>
                <w:rFonts w:ascii="Times New Roman" w:hAnsi="Times New Roman"/>
                <w:b/>
                <w:bCs/>
                <w:i/>
                <w:sz w:val="20"/>
                <w:szCs w:val="20"/>
              </w:rPr>
              <w:t>Seminaras 3, 2 etapas, paskutinis punktas:</w:t>
            </w:r>
            <w:r w:rsidRPr="0067165D">
              <w:rPr>
                <w:rFonts w:ascii="Times New Roman" w:hAnsi="Times New Roman"/>
                <w:i/>
                <w:sz w:val="20"/>
                <w:szCs w:val="20"/>
              </w:rPr>
              <w:t xml:space="preserve"> Neįmanoma parengti minėtos literatūros apžvalgos per 3 dienas, tačiau galima sukurti sisteminį požiūrį ir struktūrą bei pradėti apžvalgą.</w:t>
            </w:r>
          </w:p>
        </w:tc>
        <w:tc>
          <w:tcPr>
            <w:tcW w:w="3650" w:type="dxa"/>
          </w:tcPr>
          <w:p w14:paraId="4817216A" w14:textId="4D7778A3" w:rsidR="00424F47" w:rsidRPr="00620CD5" w:rsidRDefault="006C2FFF" w:rsidP="00424F47">
            <w:pPr>
              <w:jc w:val="both"/>
              <w:rPr>
                <w:rFonts w:ascii="Times New Roman" w:hAnsi="Times New Roman"/>
                <w:color w:val="EE0000"/>
                <w:sz w:val="20"/>
                <w:szCs w:val="20"/>
              </w:rPr>
            </w:pPr>
            <w:r w:rsidRPr="00620CD5">
              <w:rPr>
                <w:rFonts w:ascii="Times New Roman" w:hAnsi="Times New Roman"/>
                <w:color w:val="EE0000"/>
                <w:sz w:val="20"/>
                <w:szCs w:val="20"/>
              </w:rPr>
              <w:t>Seminaro t</w:t>
            </w:r>
            <w:r w:rsidR="00463FC2" w:rsidRPr="00620CD5">
              <w:rPr>
                <w:rFonts w:ascii="Times New Roman" w:hAnsi="Times New Roman"/>
                <w:color w:val="EE0000"/>
                <w:sz w:val="20"/>
                <w:szCs w:val="20"/>
              </w:rPr>
              <w:t>urinys patikslintas</w:t>
            </w:r>
          </w:p>
          <w:p w14:paraId="4D08691A" w14:textId="3F3AF706" w:rsidR="00523D89" w:rsidRPr="000E64D6" w:rsidRDefault="00FD36BA" w:rsidP="00424F47">
            <w:pPr>
              <w:jc w:val="both"/>
              <w:rPr>
                <w:rFonts w:ascii="Times New Roman" w:hAnsi="Times New Roman"/>
                <w:b/>
                <w:bCs/>
                <w:i/>
                <w:color w:val="EE0000"/>
                <w:sz w:val="20"/>
                <w:szCs w:val="20"/>
                <w:lang w:val="en-US"/>
              </w:rPr>
            </w:pPr>
            <w:proofErr w:type="spellStart"/>
            <w:r>
              <w:rPr>
                <w:rFonts w:ascii="Times New Roman" w:hAnsi="Times New Roman"/>
                <w:b/>
                <w:bCs/>
                <w:iCs/>
                <w:color w:val="000000" w:themeColor="text1"/>
                <w:sz w:val="20"/>
                <w:szCs w:val="20"/>
              </w:rPr>
              <w:t>Seminar</w:t>
            </w:r>
            <w:proofErr w:type="spellEnd"/>
            <w:r>
              <w:rPr>
                <w:rFonts w:ascii="Times New Roman" w:hAnsi="Times New Roman"/>
                <w:b/>
                <w:bCs/>
                <w:iCs/>
                <w:color w:val="000000" w:themeColor="text1"/>
                <w:sz w:val="20"/>
                <w:szCs w:val="20"/>
              </w:rPr>
              <w:t xml:space="preserve"> </w:t>
            </w:r>
            <w:proofErr w:type="spellStart"/>
            <w:r>
              <w:rPr>
                <w:rFonts w:ascii="Times New Roman" w:hAnsi="Times New Roman"/>
                <w:b/>
                <w:bCs/>
                <w:iCs/>
                <w:color w:val="000000" w:themeColor="text1"/>
                <w:sz w:val="20"/>
                <w:szCs w:val="20"/>
              </w:rPr>
              <w:t>c</w:t>
            </w:r>
            <w:r w:rsidRPr="00523D89">
              <w:rPr>
                <w:rFonts w:ascii="Times New Roman" w:hAnsi="Times New Roman"/>
                <w:b/>
                <w:bCs/>
                <w:iCs/>
                <w:color w:val="000000" w:themeColor="text1"/>
                <w:sz w:val="20"/>
                <w:szCs w:val="20"/>
              </w:rPr>
              <w:t>ontent</w:t>
            </w:r>
            <w:proofErr w:type="spellEnd"/>
            <w:r w:rsidRPr="00523D89">
              <w:rPr>
                <w:rFonts w:ascii="Times New Roman" w:hAnsi="Times New Roman"/>
                <w:b/>
                <w:bCs/>
                <w:iCs/>
                <w:color w:val="000000" w:themeColor="text1"/>
                <w:sz w:val="20"/>
                <w:szCs w:val="20"/>
              </w:rPr>
              <w:t xml:space="preserve"> </w:t>
            </w:r>
            <w:proofErr w:type="spellStart"/>
            <w:r>
              <w:rPr>
                <w:rFonts w:ascii="Times New Roman" w:hAnsi="Times New Roman"/>
                <w:b/>
                <w:bCs/>
                <w:iCs/>
                <w:color w:val="000000" w:themeColor="text1"/>
                <w:sz w:val="20"/>
                <w:szCs w:val="20"/>
              </w:rPr>
              <w:t>has</w:t>
            </w:r>
            <w:proofErr w:type="spellEnd"/>
            <w:r>
              <w:rPr>
                <w:rFonts w:ascii="Times New Roman" w:hAnsi="Times New Roman"/>
                <w:b/>
                <w:bCs/>
                <w:iCs/>
                <w:color w:val="000000" w:themeColor="text1"/>
                <w:sz w:val="20"/>
                <w:szCs w:val="20"/>
              </w:rPr>
              <w:t xml:space="preserve"> </w:t>
            </w:r>
            <w:proofErr w:type="spellStart"/>
            <w:r>
              <w:rPr>
                <w:rFonts w:ascii="Times New Roman" w:hAnsi="Times New Roman"/>
                <w:b/>
                <w:bCs/>
                <w:iCs/>
                <w:color w:val="000000" w:themeColor="text1"/>
                <w:sz w:val="20"/>
                <w:szCs w:val="20"/>
              </w:rPr>
              <w:t>been</w:t>
            </w:r>
            <w:proofErr w:type="spellEnd"/>
            <w:r>
              <w:rPr>
                <w:rFonts w:ascii="Times New Roman" w:hAnsi="Times New Roman"/>
                <w:b/>
                <w:bCs/>
                <w:iCs/>
                <w:color w:val="000000" w:themeColor="text1"/>
                <w:sz w:val="20"/>
                <w:szCs w:val="20"/>
              </w:rPr>
              <w:t xml:space="preserve"> </w:t>
            </w:r>
            <w:proofErr w:type="spellStart"/>
            <w:r w:rsidRPr="00523D89">
              <w:rPr>
                <w:rFonts w:ascii="Times New Roman" w:hAnsi="Times New Roman"/>
                <w:b/>
                <w:bCs/>
                <w:iCs/>
                <w:color w:val="000000" w:themeColor="text1"/>
                <w:sz w:val="20"/>
                <w:szCs w:val="20"/>
              </w:rPr>
              <w:t>revised</w:t>
            </w:r>
            <w:proofErr w:type="spellEnd"/>
            <w:r>
              <w:rPr>
                <w:rFonts w:ascii="Times New Roman" w:hAnsi="Times New Roman"/>
                <w:b/>
                <w:bCs/>
                <w:iCs/>
                <w:color w:val="000000" w:themeColor="text1"/>
                <w:sz w:val="20"/>
                <w:szCs w:val="20"/>
              </w:rPr>
              <w:t xml:space="preserve"> per </w:t>
            </w:r>
            <w:proofErr w:type="spellStart"/>
            <w:r>
              <w:rPr>
                <w:rFonts w:ascii="Times New Roman" w:hAnsi="Times New Roman"/>
                <w:b/>
                <w:bCs/>
                <w:iCs/>
                <w:color w:val="000000" w:themeColor="text1"/>
                <w:sz w:val="20"/>
                <w:szCs w:val="20"/>
              </w:rPr>
              <w:t>comment</w:t>
            </w:r>
            <w:proofErr w:type="spellEnd"/>
            <w:r>
              <w:rPr>
                <w:rFonts w:ascii="Times New Roman" w:hAnsi="Times New Roman"/>
                <w:b/>
                <w:bCs/>
                <w:iCs/>
                <w:color w:val="000000" w:themeColor="text1"/>
                <w:sz w:val="20"/>
                <w:szCs w:val="20"/>
              </w:rPr>
              <w:t>.</w:t>
            </w:r>
          </w:p>
        </w:tc>
      </w:tr>
      <w:tr w:rsidR="00424F47" w:rsidRPr="003E1CA5" w14:paraId="1C306E69" w14:textId="77777777" w:rsidTr="00EA2B44">
        <w:trPr>
          <w:trHeight w:val="16"/>
        </w:trPr>
        <w:tc>
          <w:tcPr>
            <w:tcW w:w="0" w:type="auto"/>
            <w:vAlign w:val="center"/>
          </w:tcPr>
          <w:p w14:paraId="37DF50F3" w14:textId="77777777" w:rsidR="00424F47" w:rsidRPr="00EA2B44" w:rsidRDefault="00424F47" w:rsidP="00424F47">
            <w:pPr>
              <w:pStyle w:val="Sraopastraipa"/>
              <w:numPr>
                <w:ilvl w:val="0"/>
                <w:numId w:val="1"/>
              </w:numPr>
              <w:tabs>
                <w:tab w:val="left" w:pos="0"/>
              </w:tabs>
              <w:spacing w:after="0" w:line="240" w:lineRule="auto"/>
              <w:ind w:left="0" w:firstLine="0"/>
              <w:jc w:val="center"/>
              <w:rPr>
                <w:rFonts w:ascii="Times New Roman" w:hAnsi="Times New Roman"/>
                <w:i/>
                <w:sz w:val="20"/>
                <w:szCs w:val="20"/>
              </w:rPr>
            </w:pPr>
          </w:p>
        </w:tc>
        <w:tc>
          <w:tcPr>
            <w:tcW w:w="3228" w:type="dxa"/>
            <w:vMerge/>
            <w:vAlign w:val="center"/>
          </w:tcPr>
          <w:p w14:paraId="0D314E46" w14:textId="77777777" w:rsidR="00424F47" w:rsidRPr="00EA2B44" w:rsidRDefault="00424F47" w:rsidP="00424F47">
            <w:pPr>
              <w:jc w:val="both"/>
              <w:rPr>
                <w:sz w:val="20"/>
                <w:szCs w:val="20"/>
              </w:rPr>
            </w:pPr>
          </w:p>
        </w:tc>
        <w:tc>
          <w:tcPr>
            <w:tcW w:w="3148" w:type="dxa"/>
          </w:tcPr>
          <w:p w14:paraId="37949EA9" w14:textId="4B065A69" w:rsidR="00424F47" w:rsidRPr="00EA2B44" w:rsidRDefault="00424F47" w:rsidP="00424F47">
            <w:pPr>
              <w:jc w:val="both"/>
              <w:rPr>
                <w:rFonts w:ascii="Times New Roman" w:hAnsi="Times New Roman"/>
                <w:i/>
                <w:sz w:val="20"/>
                <w:szCs w:val="20"/>
              </w:rPr>
            </w:pPr>
            <w:proofErr w:type="spellStart"/>
            <w:r w:rsidRPr="00EA2B44">
              <w:rPr>
                <w:rFonts w:ascii="Times New Roman" w:hAnsi="Times New Roman"/>
                <w:i/>
                <w:sz w:val="20"/>
                <w:szCs w:val="20"/>
              </w:rPr>
              <w:t>Seminar</w:t>
            </w:r>
            <w:proofErr w:type="spellEnd"/>
            <w:r w:rsidRPr="00EA2B44">
              <w:rPr>
                <w:rFonts w:ascii="Times New Roman" w:hAnsi="Times New Roman"/>
                <w:i/>
                <w:sz w:val="20"/>
                <w:szCs w:val="20"/>
              </w:rPr>
              <w:t xml:space="preserve"> 9, </w:t>
            </w:r>
            <w:proofErr w:type="spellStart"/>
            <w:r w:rsidRPr="00EA2B44">
              <w:rPr>
                <w:rFonts w:ascii="Times New Roman" w:hAnsi="Times New Roman"/>
                <w:i/>
                <w:sz w:val="20"/>
                <w:szCs w:val="20"/>
              </w:rPr>
              <w:t>Stage</w:t>
            </w:r>
            <w:proofErr w:type="spellEnd"/>
            <w:r w:rsidRPr="00EA2B44">
              <w:rPr>
                <w:rFonts w:ascii="Times New Roman" w:hAnsi="Times New Roman"/>
                <w:i/>
                <w:sz w:val="20"/>
                <w:szCs w:val="20"/>
              </w:rPr>
              <w:t xml:space="preserve"> 6: </w:t>
            </w:r>
            <w:proofErr w:type="spellStart"/>
            <w:r w:rsidRPr="00EA2B44">
              <w:rPr>
                <w:rFonts w:ascii="Times New Roman" w:hAnsi="Times New Roman"/>
                <w:i/>
                <w:sz w:val="20"/>
                <w:szCs w:val="20"/>
              </w:rPr>
              <w:t>We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do</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not</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have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the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expertise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for</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creating</w:t>
            </w:r>
            <w:proofErr w:type="spellEnd"/>
            <w:r w:rsidRPr="00EA2B44">
              <w:rPr>
                <w:rFonts w:ascii="Times New Roman" w:hAnsi="Times New Roman"/>
                <w:i/>
                <w:sz w:val="20"/>
                <w:szCs w:val="20"/>
              </w:rPr>
              <w:t xml:space="preserve"> a </w:t>
            </w:r>
            <w:proofErr w:type="spellStart"/>
            <w:r w:rsidRPr="00EA2B44">
              <w:rPr>
                <w:rFonts w:ascii="Times New Roman" w:hAnsi="Times New Roman"/>
                <w:i/>
                <w:sz w:val="20"/>
                <w:szCs w:val="20"/>
              </w:rPr>
              <w:t>didactid-managerial</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model</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We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would</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recommend</w:t>
            </w:r>
            <w:proofErr w:type="spellEnd"/>
            <w:r w:rsidRPr="00EA2B44">
              <w:rPr>
                <w:rFonts w:ascii="Times New Roman" w:hAnsi="Times New Roman"/>
                <w:i/>
                <w:sz w:val="20"/>
                <w:szCs w:val="20"/>
              </w:rPr>
              <w:t xml:space="preserve"> to </w:t>
            </w:r>
            <w:proofErr w:type="spellStart"/>
            <w:r w:rsidRPr="00EA2B44">
              <w:rPr>
                <w:rFonts w:ascii="Times New Roman" w:hAnsi="Times New Roman"/>
                <w:i/>
                <w:sz w:val="20"/>
                <w:szCs w:val="20"/>
              </w:rPr>
              <w:t>get</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an</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expert</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on</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board</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who</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is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familiar</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with</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the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situation</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in</w:t>
            </w:r>
            <w:proofErr w:type="spellEnd"/>
            <w:r w:rsidRPr="00EA2B44">
              <w:rPr>
                <w:rFonts w:ascii="Times New Roman" w:hAnsi="Times New Roman"/>
                <w:i/>
                <w:sz w:val="20"/>
                <w:szCs w:val="20"/>
              </w:rPr>
              <w:t xml:space="preserve"> Lithuania. </w:t>
            </w:r>
            <w:proofErr w:type="spellStart"/>
            <w:r w:rsidRPr="00EA2B44">
              <w:rPr>
                <w:rFonts w:ascii="Times New Roman" w:hAnsi="Times New Roman"/>
                <w:i/>
                <w:sz w:val="20"/>
                <w:szCs w:val="20"/>
              </w:rPr>
              <w:t>Not</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budgeted</w:t>
            </w:r>
            <w:proofErr w:type="spellEnd"/>
            <w:r w:rsidRPr="00EA2B44">
              <w:rPr>
                <w:rFonts w:ascii="Times New Roman" w:hAnsi="Times New Roman"/>
                <w:i/>
                <w:sz w:val="20"/>
                <w:szCs w:val="20"/>
              </w:rPr>
              <w:t>.</w:t>
            </w:r>
          </w:p>
        </w:tc>
        <w:tc>
          <w:tcPr>
            <w:tcW w:w="3465" w:type="dxa"/>
          </w:tcPr>
          <w:p w14:paraId="5B977AF5" w14:textId="1FE461F3" w:rsidR="00424F47" w:rsidRPr="00EA2B44" w:rsidRDefault="00424F47" w:rsidP="00424F47">
            <w:pPr>
              <w:jc w:val="both"/>
              <w:rPr>
                <w:rFonts w:ascii="Times New Roman" w:hAnsi="Times New Roman"/>
                <w:b/>
                <w:bCs/>
                <w:i/>
                <w:sz w:val="20"/>
                <w:szCs w:val="20"/>
              </w:rPr>
            </w:pPr>
            <w:r w:rsidRPr="0067165D">
              <w:rPr>
                <w:rFonts w:ascii="Times New Roman" w:hAnsi="Times New Roman"/>
                <w:b/>
                <w:bCs/>
                <w:i/>
                <w:sz w:val="20"/>
                <w:szCs w:val="20"/>
              </w:rPr>
              <w:t>Seminaras 9, 6 etapas:</w:t>
            </w:r>
            <w:r w:rsidRPr="0067165D">
              <w:rPr>
                <w:rFonts w:ascii="Times New Roman" w:hAnsi="Times New Roman"/>
                <w:i/>
                <w:sz w:val="20"/>
                <w:szCs w:val="20"/>
              </w:rPr>
              <w:t xml:space="preserve"> Neturime kompetencijos kurti didaktinį-vadybinį modelį. Rekomenduotume pasitelkti ekspertą, kuris gerai išmano situaciją Lietuvoje. Tai nėra įtraukta į biudžetą.</w:t>
            </w:r>
          </w:p>
        </w:tc>
        <w:tc>
          <w:tcPr>
            <w:tcW w:w="3650" w:type="dxa"/>
          </w:tcPr>
          <w:p w14:paraId="42B1C6C7" w14:textId="254BDB39" w:rsidR="00424F47" w:rsidRDefault="00F34435" w:rsidP="00424F47">
            <w:pPr>
              <w:jc w:val="both"/>
              <w:rPr>
                <w:rFonts w:ascii="Times New Roman" w:hAnsi="Times New Roman"/>
                <w:iCs/>
                <w:color w:val="EE0000"/>
                <w:sz w:val="20"/>
                <w:szCs w:val="20"/>
              </w:rPr>
            </w:pPr>
            <w:r w:rsidRPr="00C16014">
              <w:rPr>
                <w:rFonts w:ascii="Times New Roman" w:hAnsi="Times New Roman"/>
                <w:iCs/>
                <w:color w:val="EE0000"/>
                <w:sz w:val="20"/>
                <w:szCs w:val="20"/>
              </w:rPr>
              <w:t xml:space="preserve">Tai gali </w:t>
            </w:r>
            <w:r w:rsidR="009F291E" w:rsidRPr="00C16014">
              <w:rPr>
                <w:rFonts w:ascii="Times New Roman" w:hAnsi="Times New Roman"/>
                <w:iCs/>
                <w:color w:val="EE0000"/>
                <w:sz w:val="20"/>
                <w:szCs w:val="20"/>
              </w:rPr>
              <w:t xml:space="preserve">atlikti </w:t>
            </w:r>
            <w:r w:rsidRPr="00C16014">
              <w:rPr>
                <w:rFonts w:ascii="Times New Roman" w:hAnsi="Times New Roman"/>
                <w:iCs/>
                <w:color w:val="EE0000"/>
                <w:sz w:val="20"/>
                <w:szCs w:val="20"/>
              </w:rPr>
              <w:t>pas</w:t>
            </w:r>
            <w:r w:rsidR="0084151C" w:rsidRPr="00C16014">
              <w:rPr>
                <w:rFonts w:ascii="Times New Roman" w:hAnsi="Times New Roman"/>
                <w:iCs/>
                <w:color w:val="EE0000"/>
                <w:sz w:val="20"/>
                <w:szCs w:val="20"/>
              </w:rPr>
              <w:t xml:space="preserve">laugos </w:t>
            </w:r>
            <w:proofErr w:type="spellStart"/>
            <w:r w:rsidRPr="00C16014">
              <w:rPr>
                <w:rFonts w:ascii="Times New Roman" w:hAnsi="Times New Roman"/>
                <w:iCs/>
                <w:color w:val="EE0000"/>
                <w:sz w:val="20"/>
                <w:szCs w:val="20"/>
              </w:rPr>
              <w:t>tiekejas</w:t>
            </w:r>
            <w:proofErr w:type="spellEnd"/>
            <w:r w:rsidR="0084151C" w:rsidRPr="00C16014">
              <w:rPr>
                <w:rFonts w:ascii="Times New Roman" w:hAnsi="Times New Roman"/>
                <w:iCs/>
                <w:color w:val="EE0000"/>
                <w:sz w:val="20"/>
                <w:szCs w:val="20"/>
              </w:rPr>
              <w:t>,</w:t>
            </w:r>
            <w:r w:rsidRPr="00C16014">
              <w:rPr>
                <w:rFonts w:ascii="Times New Roman" w:hAnsi="Times New Roman"/>
                <w:iCs/>
                <w:color w:val="EE0000"/>
                <w:sz w:val="20"/>
                <w:szCs w:val="20"/>
              </w:rPr>
              <w:t xml:space="preserve"> pasirinkdamas papildomus lektorius</w:t>
            </w:r>
            <w:r w:rsidR="006C2FFF">
              <w:rPr>
                <w:rFonts w:ascii="Times New Roman" w:hAnsi="Times New Roman"/>
                <w:iCs/>
                <w:color w:val="EE0000"/>
                <w:sz w:val="20"/>
                <w:szCs w:val="20"/>
              </w:rPr>
              <w:t>/tiekėjus</w:t>
            </w:r>
            <w:r w:rsidRPr="00C16014">
              <w:rPr>
                <w:rFonts w:ascii="Times New Roman" w:hAnsi="Times New Roman"/>
                <w:iCs/>
                <w:color w:val="EE0000"/>
                <w:sz w:val="20"/>
                <w:szCs w:val="20"/>
              </w:rPr>
              <w:t xml:space="preserve"> šiai temai</w:t>
            </w:r>
            <w:r w:rsidR="0084151C" w:rsidRPr="00C16014">
              <w:rPr>
                <w:rFonts w:ascii="Times New Roman" w:hAnsi="Times New Roman"/>
                <w:iCs/>
                <w:color w:val="EE0000"/>
                <w:sz w:val="20"/>
                <w:szCs w:val="20"/>
              </w:rPr>
              <w:t xml:space="preserve"> </w:t>
            </w:r>
            <w:r w:rsidR="00C16014" w:rsidRPr="00C16014">
              <w:rPr>
                <w:rFonts w:ascii="Times New Roman" w:hAnsi="Times New Roman"/>
                <w:iCs/>
                <w:color w:val="EE0000"/>
                <w:sz w:val="20"/>
                <w:szCs w:val="20"/>
              </w:rPr>
              <w:t>išdėstyti.</w:t>
            </w:r>
          </w:p>
          <w:p w14:paraId="5D54E05E" w14:textId="4A2315FC" w:rsidR="00482F0B" w:rsidRPr="00C16014" w:rsidRDefault="00482F0B" w:rsidP="00424F47">
            <w:pPr>
              <w:jc w:val="both"/>
              <w:rPr>
                <w:rFonts w:ascii="Times New Roman" w:hAnsi="Times New Roman"/>
                <w:iCs/>
                <w:color w:val="EE0000"/>
                <w:sz w:val="20"/>
                <w:szCs w:val="20"/>
              </w:rPr>
            </w:pPr>
            <w:proofErr w:type="spellStart"/>
            <w:r w:rsidRPr="00482F0B">
              <w:rPr>
                <w:rFonts w:ascii="Times New Roman" w:hAnsi="Times New Roman"/>
                <w:b/>
                <w:bCs/>
                <w:iCs/>
                <w:color w:val="000000" w:themeColor="text1"/>
                <w:sz w:val="20"/>
                <w:szCs w:val="20"/>
              </w:rPr>
              <w:t>This</w:t>
            </w:r>
            <w:proofErr w:type="spellEnd"/>
            <w:r w:rsidRPr="00482F0B">
              <w:rPr>
                <w:rFonts w:ascii="Times New Roman" w:hAnsi="Times New Roman"/>
                <w:b/>
                <w:bCs/>
                <w:iCs/>
                <w:color w:val="000000" w:themeColor="text1"/>
                <w:sz w:val="20"/>
                <w:szCs w:val="20"/>
              </w:rPr>
              <w:t xml:space="preserve"> </w:t>
            </w:r>
            <w:proofErr w:type="spellStart"/>
            <w:r w:rsidR="00FD36BA">
              <w:rPr>
                <w:rFonts w:ascii="Times New Roman" w:hAnsi="Times New Roman"/>
                <w:b/>
                <w:bCs/>
                <w:iCs/>
                <w:color w:val="000000" w:themeColor="text1"/>
                <w:sz w:val="20"/>
                <w:szCs w:val="20"/>
              </w:rPr>
              <w:t>particular</w:t>
            </w:r>
            <w:proofErr w:type="spellEnd"/>
            <w:r w:rsidR="00FD36BA">
              <w:rPr>
                <w:rFonts w:ascii="Times New Roman" w:hAnsi="Times New Roman"/>
                <w:b/>
                <w:bCs/>
                <w:iCs/>
                <w:color w:val="000000" w:themeColor="text1"/>
                <w:sz w:val="20"/>
                <w:szCs w:val="20"/>
              </w:rPr>
              <w:t xml:space="preserve"> </w:t>
            </w:r>
            <w:proofErr w:type="spellStart"/>
            <w:r w:rsidR="00FD36BA">
              <w:rPr>
                <w:rFonts w:ascii="Times New Roman" w:hAnsi="Times New Roman"/>
                <w:b/>
                <w:bCs/>
                <w:iCs/>
                <w:color w:val="000000" w:themeColor="text1"/>
                <w:sz w:val="20"/>
                <w:szCs w:val="20"/>
              </w:rPr>
              <w:t>stage</w:t>
            </w:r>
            <w:proofErr w:type="spellEnd"/>
            <w:r w:rsidR="00FD36BA">
              <w:rPr>
                <w:rFonts w:ascii="Times New Roman" w:hAnsi="Times New Roman"/>
                <w:b/>
                <w:bCs/>
                <w:iCs/>
                <w:color w:val="000000" w:themeColor="text1"/>
                <w:sz w:val="20"/>
                <w:szCs w:val="20"/>
              </w:rPr>
              <w:t xml:space="preserve"> </w:t>
            </w:r>
            <w:proofErr w:type="spellStart"/>
            <w:r w:rsidR="00FD36BA">
              <w:rPr>
                <w:rFonts w:ascii="Times New Roman" w:hAnsi="Times New Roman"/>
                <w:b/>
                <w:bCs/>
                <w:iCs/>
                <w:color w:val="000000" w:themeColor="text1"/>
                <w:sz w:val="20"/>
                <w:szCs w:val="20"/>
              </w:rPr>
              <w:t>of</w:t>
            </w:r>
            <w:proofErr w:type="spellEnd"/>
            <w:r w:rsidR="00FD36BA">
              <w:rPr>
                <w:rFonts w:ascii="Times New Roman" w:hAnsi="Times New Roman"/>
                <w:b/>
                <w:bCs/>
                <w:iCs/>
                <w:color w:val="000000" w:themeColor="text1"/>
                <w:sz w:val="20"/>
                <w:szCs w:val="20"/>
              </w:rPr>
              <w:t xml:space="preserve"> </w:t>
            </w:r>
            <w:proofErr w:type="spellStart"/>
            <w:r w:rsidR="00FD36BA">
              <w:rPr>
                <w:rFonts w:ascii="Times New Roman" w:hAnsi="Times New Roman"/>
                <w:b/>
                <w:bCs/>
                <w:iCs/>
                <w:color w:val="000000" w:themeColor="text1"/>
                <w:sz w:val="20"/>
                <w:szCs w:val="20"/>
              </w:rPr>
              <w:t>the</w:t>
            </w:r>
            <w:proofErr w:type="spellEnd"/>
            <w:r w:rsidR="00FD36BA">
              <w:rPr>
                <w:rFonts w:ascii="Times New Roman" w:hAnsi="Times New Roman"/>
                <w:b/>
                <w:bCs/>
                <w:iCs/>
                <w:color w:val="000000" w:themeColor="text1"/>
                <w:sz w:val="20"/>
                <w:szCs w:val="20"/>
              </w:rPr>
              <w:t xml:space="preserve"> </w:t>
            </w:r>
            <w:proofErr w:type="spellStart"/>
            <w:r w:rsidR="00FD36BA">
              <w:rPr>
                <w:rFonts w:ascii="Times New Roman" w:hAnsi="Times New Roman"/>
                <w:b/>
                <w:bCs/>
                <w:iCs/>
                <w:color w:val="000000" w:themeColor="text1"/>
                <w:sz w:val="20"/>
                <w:szCs w:val="20"/>
              </w:rPr>
              <w:t>research</w:t>
            </w:r>
            <w:proofErr w:type="spellEnd"/>
            <w:r w:rsidR="00FD36BA">
              <w:rPr>
                <w:rFonts w:ascii="Times New Roman" w:hAnsi="Times New Roman"/>
                <w:b/>
                <w:bCs/>
                <w:iCs/>
                <w:color w:val="000000" w:themeColor="text1"/>
                <w:sz w:val="20"/>
                <w:szCs w:val="20"/>
              </w:rPr>
              <w:t xml:space="preserve"> </w:t>
            </w:r>
            <w:proofErr w:type="spellStart"/>
            <w:r w:rsidR="00FD36BA">
              <w:rPr>
                <w:rFonts w:ascii="Times New Roman" w:hAnsi="Times New Roman"/>
                <w:b/>
                <w:bCs/>
                <w:iCs/>
                <w:color w:val="000000" w:themeColor="text1"/>
                <w:sz w:val="20"/>
                <w:szCs w:val="20"/>
              </w:rPr>
              <w:t>project</w:t>
            </w:r>
            <w:proofErr w:type="spellEnd"/>
            <w:r w:rsidR="00FD36BA">
              <w:rPr>
                <w:rFonts w:ascii="Times New Roman" w:hAnsi="Times New Roman"/>
                <w:b/>
                <w:bCs/>
                <w:iCs/>
                <w:color w:val="000000" w:themeColor="text1"/>
                <w:sz w:val="20"/>
                <w:szCs w:val="20"/>
              </w:rPr>
              <w:t xml:space="preserve"> </w:t>
            </w:r>
            <w:proofErr w:type="spellStart"/>
            <w:r w:rsidRPr="00482F0B">
              <w:rPr>
                <w:rFonts w:ascii="Times New Roman" w:hAnsi="Times New Roman"/>
                <w:b/>
                <w:bCs/>
                <w:iCs/>
                <w:color w:val="000000" w:themeColor="text1"/>
                <w:sz w:val="20"/>
                <w:szCs w:val="20"/>
              </w:rPr>
              <w:t>may</w:t>
            </w:r>
            <w:proofErr w:type="spellEnd"/>
            <w:r w:rsidRPr="00482F0B">
              <w:rPr>
                <w:rFonts w:ascii="Times New Roman" w:hAnsi="Times New Roman"/>
                <w:b/>
                <w:bCs/>
                <w:iCs/>
                <w:color w:val="000000" w:themeColor="text1"/>
                <w:sz w:val="20"/>
                <w:szCs w:val="20"/>
              </w:rPr>
              <w:t xml:space="preserve"> be </w:t>
            </w:r>
            <w:proofErr w:type="spellStart"/>
            <w:r w:rsidR="00FD36BA">
              <w:rPr>
                <w:rFonts w:ascii="Times New Roman" w:hAnsi="Times New Roman"/>
                <w:b/>
                <w:bCs/>
                <w:iCs/>
                <w:color w:val="000000" w:themeColor="text1"/>
                <w:sz w:val="20"/>
                <w:szCs w:val="20"/>
              </w:rPr>
              <w:t>outsourced</w:t>
            </w:r>
            <w:proofErr w:type="spellEnd"/>
            <w:r w:rsidR="00FD36BA">
              <w:rPr>
                <w:rFonts w:ascii="Times New Roman" w:hAnsi="Times New Roman"/>
                <w:b/>
                <w:bCs/>
                <w:iCs/>
                <w:color w:val="000000" w:themeColor="text1"/>
                <w:sz w:val="20"/>
                <w:szCs w:val="20"/>
              </w:rPr>
              <w:t xml:space="preserve"> to </w:t>
            </w:r>
            <w:proofErr w:type="spellStart"/>
            <w:r w:rsidR="00FD36BA">
              <w:rPr>
                <w:rFonts w:ascii="Times New Roman" w:hAnsi="Times New Roman"/>
                <w:b/>
                <w:bCs/>
                <w:iCs/>
                <w:color w:val="000000" w:themeColor="text1"/>
                <w:sz w:val="20"/>
                <w:szCs w:val="20"/>
              </w:rPr>
              <w:t>another</w:t>
            </w:r>
            <w:r w:rsidRPr="00482F0B">
              <w:rPr>
                <w:rFonts w:ascii="Times New Roman" w:hAnsi="Times New Roman"/>
                <w:b/>
                <w:bCs/>
                <w:iCs/>
                <w:color w:val="000000" w:themeColor="text1"/>
                <w:sz w:val="20"/>
                <w:szCs w:val="20"/>
              </w:rPr>
              <w:t>service</w:t>
            </w:r>
            <w:proofErr w:type="spellEnd"/>
            <w:r w:rsidRPr="00482F0B">
              <w:rPr>
                <w:rFonts w:ascii="Times New Roman" w:hAnsi="Times New Roman"/>
                <w:b/>
                <w:bCs/>
                <w:iCs/>
                <w:color w:val="000000" w:themeColor="text1"/>
                <w:sz w:val="20"/>
                <w:szCs w:val="20"/>
              </w:rPr>
              <w:t xml:space="preserve"> </w:t>
            </w:r>
            <w:proofErr w:type="spellStart"/>
            <w:r w:rsidRPr="00482F0B">
              <w:rPr>
                <w:rFonts w:ascii="Times New Roman" w:hAnsi="Times New Roman"/>
                <w:b/>
                <w:bCs/>
                <w:iCs/>
                <w:color w:val="000000" w:themeColor="text1"/>
                <w:sz w:val="20"/>
                <w:szCs w:val="20"/>
              </w:rPr>
              <w:t>provider</w:t>
            </w:r>
            <w:proofErr w:type="spellEnd"/>
            <w:r w:rsidRPr="00482F0B">
              <w:rPr>
                <w:rFonts w:ascii="Times New Roman" w:hAnsi="Times New Roman"/>
                <w:b/>
                <w:bCs/>
                <w:iCs/>
                <w:color w:val="000000" w:themeColor="text1"/>
                <w:sz w:val="20"/>
                <w:szCs w:val="20"/>
              </w:rPr>
              <w:t>,</w:t>
            </w:r>
          </w:p>
        </w:tc>
      </w:tr>
      <w:tr w:rsidR="00424F47" w:rsidRPr="003E1CA5" w14:paraId="39A68621" w14:textId="2086C773" w:rsidTr="00EA2B44">
        <w:trPr>
          <w:trHeight w:val="16"/>
        </w:trPr>
        <w:tc>
          <w:tcPr>
            <w:tcW w:w="0" w:type="auto"/>
            <w:vAlign w:val="center"/>
          </w:tcPr>
          <w:p w14:paraId="4B62D4C8" w14:textId="77777777" w:rsidR="00424F47" w:rsidRPr="00EA2B44" w:rsidRDefault="00424F47" w:rsidP="00424F47">
            <w:pPr>
              <w:pStyle w:val="Sraopastraipa"/>
              <w:numPr>
                <w:ilvl w:val="0"/>
                <w:numId w:val="1"/>
              </w:numPr>
              <w:tabs>
                <w:tab w:val="left" w:pos="0"/>
              </w:tabs>
              <w:spacing w:after="0" w:line="240" w:lineRule="auto"/>
              <w:ind w:left="0" w:firstLine="0"/>
              <w:jc w:val="center"/>
              <w:rPr>
                <w:rFonts w:ascii="Times New Roman" w:hAnsi="Times New Roman"/>
                <w:i/>
                <w:sz w:val="20"/>
                <w:szCs w:val="20"/>
              </w:rPr>
            </w:pPr>
          </w:p>
        </w:tc>
        <w:tc>
          <w:tcPr>
            <w:tcW w:w="3228" w:type="dxa"/>
            <w:vAlign w:val="center"/>
          </w:tcPr>
          <w:p w14:paraId="2989DD2A" w14:textId="77777777" w:rsidR="00424F47" w:rsidRPr="00EA2B44" w:rsidRDefault="00424F47" w:rsidP="00424F47">
            <w:pPr>
              <w:jc w:val="both"/>
              <w:rPr>
                <w:rFonts w:ascii="Times New Roman" w:hAnsi="Times New Roman"/>
                <w:i/>
                <w:sz w:val="20"/>
                <w:szCs w:val="20"/>
              </w:rPr>
            </w:pPr>
            <w:proofErr w:type="spellStart"/>
            <w:r w:rsidRPr="00EA2B44">
              <w:rPr>
                <w:sz w:val="20"/>
                <w:szCs w:val="20"/>
              </w:rPr>
              <w:t>Why</w:t>
            </w:r>
            <w:proofErr w:type="spellEnd"/>
            <w:r w:rsidRPr="00EA2B44">
              <w:rPr>
                <w:sz w:val="20"/>
                <w:szCs w:val="20"/>
              </w:rPr>
              <w:t xml:space="preserve"> </w:t>
            </w:r>
            <w:proofErr w:type="spellStart"/>
            <w:r w:rsidRPr="00EA2B44">
              <w:rPr>
                <w:sz w:val="20"/>
                <w:szCs w:val="20"/>
              </w:rPr>
              <w:t>do</w:t>
            </w:r>
            <w:proofErr w:type="spellEnd"/>
            <w:r w:rsidRPr="00EA2B44">
              <w:rPr>
                <w:sz w:val="20"/>
                <w:szCs w:val="20"/>
              </w:rPr>
              <w:t xml:space="preserve"> </w:t>
            </w:r>
            <w:proofErr w:type="spellStart"/>
            <w:r w:rsidRPr="00EA2B44">
              <w:rPr>
                <w:sz w:val="20"/>
                <w:szCs w:val="20"/>
              </w:rPr>
              <w:t>you</w:t>
            </w:r>
            <w:proofErr w:type="spellEnd"/>
            <w:r w:rsidRPr="00EA2B44">
              <w:rPr>
                <w:sz w:val="20"/>
                <w:szCs w:val="20"/>
              </w:rPr>
              <w:t xml:space="preserve"> </w:t>
            </w:r>
            <w:proofErr w:type="spellStart"/>
            <w:r w:rsidRPr="00EA2B44">
              <w:rPr>
                <w:sz w:val="20"/>
                <w:szCs w:val="20"/>
              </w:rPr>
              <w:t>propose</w:t>
            </w:r>
            <w:proofErr w:type="spellEnd"/>
            <w:r w:rsidRPr="00EA2B44">
              <w:rPr>
                <w:sz w:val="20"/>
                <w:szCs w:val="20"/>
              </w:rPr>
              <w:t xml:space="preserve"> </w:t>
            </w:r>
            <w:proofErr w:type="spellStart"/>
            <w:r w:rsidRPr="00EA2B44">
              <w:rPr>
                <w:sz w:val="20"/>
                <w:szCs w:val="20"/>
              </w:rPr>
              <w:t>such</w:t>
            </w:r>
            <w:proofErr w:type="spellEnd"/>
            <w:r w:rsidRPr="00EA2B44">
              <w:rPr>
                <w:sz w:val="20"/>
                <w:szCs w:val="20"/>
              </w:rPr>
              <w:t xml:space="preserve"> a </w:t>
            </w:r>
            <w:proofErr w:type="spellStart"/>
            <w:r w:rsidRPr="00EA2B44">
              <w:rPr>
                <w:sz w:val="20"/>
                <w:szCs w:val="20"/>
              </w:rPr>
              <w:t>price</w:t>
            </w:r>
            <w:proofErr w:type="spellEnd"/>
            <w:r w:rsidRPr="00EA2B44">
              <w:rPr>
                <w:sz w:val="20"/>
                <w:szCs w:val="20"/>
              </w:rPr>
              <w:t xml:space="preserve">? </w:t>
            </w:r>
            <w:proofErr w:type="spellStart"/>
            <w:r w:rsidRPr="00EA2B44">
              <w:rPr>
                <w:sz w:val="20"/>
                <w:szCs w:val="20"/>
              </w:rPr>
              <w:t>What</w:t>
            </w:r>
            <w:proofErr w:type="spellEnd"/>
            <w:r w:rsidRPr="00EA2B44">
              <w:rPr>
                <w:sz w:val="20"/>
                <w:szCs w:val="20"/>
              </w:rPr>
              <w:t xml:space="preserve"> </w:t>
            </w:r>
            <w:proofErr w:type="spellStart"/>
            <w:r w:rsidRPr="00EA2B44">
              <w:rPr>
                <w:sz w:val="20"/>
                <w:szCs w:val="20"/>
              </w:rPr>
              <w:t>factors</w:t>
            </w:r>
            <w:proofErr w:type="spellEnd"/>
            <w:r w:rsidRPr="00EA2B44">
              <w:rPr>
                <w:sz w:val="20"/>
                <w:szCs w:val="20"/>
              </w:rPr>
              <w:t xml:space="preserve"> </w:t>
            </w:r>
            <w:proofErr w:type="spellStart"/>
            <w:r w:rsidRPr="00EA2B44">
              <w:rPr>
                <w:sz w:val="20"/>
                <w:szCs w:val="20"/>
              </w:rPr>
              <w:t>most</w:t>
            </w:r>
            <w:proofErr w:type="spellEnd"/>
            <w:r w:rsidRPr="00EA2B44">
              <w:rPr>
                <w:sz w:val="20"/>
                <w:szCs w:val="20"/>
              </w:rPr>
              <w:t xml:space="preserve"> </w:t>
            </w:r>
            <w:proofErr w:type="spellStart"/>
            <w:r w:rsidRPr="00EA2B44">
              <w:rPr>
                <w:sz w:val="20"/>
                <w:szCs w:val="20"/>
              </w:rPr>
              <w:t>increase</w:t>
            </w:r>
            <w:proofErr w:type="spellEnd"/>
            <w:r w:rsidRPr="00EA2B44">
              <w:rPr>
                <w:sz w:val="20"/>
                <w:szCs w:val="20"/>
              </w:rPr>
              <w:t xml:space="preserve"> </w:t>
            </w:r>
            <w:proofErr w:type="spellStart"/>
            <w:r w:rsidRPr="00EA2B44">
              <w:rPr>
                <w:sz w:val="20"/>
                <w:szCs w:val="20"/>
              </w:rPr>
              <w:t>service</w:t>
            </w:r>
            <w:proofErr w:type="spellEnd"/>
            <w:r w:rsidRPr="00EA2B44">
              <w:rPr>
                <w:sz w:val="20"/>
                <w:szCs w:val="20"/>
              </w:rPr>
              <w:t xml:space="preserve"> </w:t>
            </w:r>
            <w:proofErr w:type="spellStart"/>
            <w:r w:rsidRPr="00EA2B44">
              <w:rPr>
                <w:sz w:val="20"/>
                <w:szCs w:val="20"/>
              </w:rPr>
              <w:t>costs</w:t>
            </w:r>
            <w:proofErr w:type="spellEnd"/>
            <w:r w:rsidRPr="00EA2B44">
              <w:rPr>
                <w:sz w:val="20"/>
                <w:szCs w:val="20"/>
              </w:rPr>
              <w:t>?</w:t>
            </w:r>
          </w:p>
        </w:tc>
        <w:tc>
          <w:tcPr>
            <w:tcW w:w="3148" w:type="dxa"/>
          </w:tcPr>
          <w:p w14:paraId="28F66C4D" w14:textId="77777777" w:rsidR="00424F47" w:rsidRPr="00EA2B44" w:rsidRDefault="00424F47" w:rsidP="00424F47">
            <w:pPr>
              <w:jc w:val="both"/>
              <w:rPr>
                <w:rFonts w:ascii="Times New Roman" w:hAnsi="Times New Roman"/>
                <w:i/>
                <w:sz w:val="20"/>
                <w:szCs w:val="20"/>
              </w:rPr>
            </w:pPr>
            <w:proofErr w:type="spellStart"/>
            <w:r w:rsidRPr="00EA2B44">
              <w:rPr>
                <w:rFonts w:ascii="Times New Roman" w:hAnsi="Times New Roman"/>
                <w:i/>
                <w:sz w:val="20"/>
                <w:szCs w:val="20"/>
              </w:rPr>
              <w:t>The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price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noted</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below</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includes</w:t>
            </w:r>
            <w:proofErr w:type="spellEnd"/>
            <w:r w:rsidRPr="00EA2B44">
              <w:rPr>
                <w:rFonts w:ascii="Times New Roman" w:hAnsi="Times New Roman"/>
                <w:i/>
                <w:sz w:val="20"/>
                <w:szCs w:val="20"/>
              </w:rPr>
              <w:t xml:space="preserve"> a </w:t>
            </w:r>
            <w:proofErr w:type="spellStart"/>
            <w:r w:rsidRPr="00EA2B44">
              <w:rPr>
                <w:rFonts w:ascii="Times New Roman" w:hAnsi="Times New Roman"/>
                <w:i/>
                <w:sz w:val="20"/>
                <w:szCs w:val="20"/>
              </w:rPr>
              <w:t>preliminary</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indication</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for</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the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services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requested</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in</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the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current</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draft</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call</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Costs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for</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workshops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make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up</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about</w:t>
            </w:r>
            <w:proofErr w:type="spellEnd"/>
            <w:r w:rsidRPr="00EA2B44">
              <w:rPr>
                <w:rFonts w:ascii="Times New Roman" w:hAnsi="Times New Roman"/>
                <w:i/>
                <w:sz w:val="20"/>
                <w:szCs w:val="20"/>
              </w:rPr>
              <w:t xml:space="preserve"> 89% </w:t>
            </w:r>
            <w:proofErr w:type="spellStart"/>
            <w:r w:rsidRPr="00EA2B44">
              <w:rPr>
                <w:rFonts w:ascii="Times New Roman" w:hAnsi="Times New Roman"/>
                <w:i/>
                <w:sz w:val="20"/>
                <w:szCs w:val="20"/>
              </w:rPr>
              <w:t>percent</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of</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the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budget</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consultations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determine</w:t>
            </w:r>
            <w:proofErr w:type="spellEnd"/>
            <w:r w:rsidRPr="00EA2B44">
              <w:rPr>
                <w:rFonts w:ascii="Times New Roman" w:hAnsi="Times New Roman"/>
                <w:i/>
                <w:sz w:val="20"/>
                <w:szCs w:val="20"/>
              </w:rPr>
              <w:t xml:space="preserve"> 8% </w:t>
            </w:r>
            <w:proofErr w:type="spellStart"/>
            <w:r w:rsidRPr="00EA2B44">
              <w:rPr>
                <w:rFonts w:ascii="Times New Roman" w:hAnsi="Times New Roman"/>
                <w:i/>
                <w:sz w:val="20"/>
                <w:szCs w:val="20"/>
              </w:rPr>
              <w:t>percent</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of</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the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budget</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added</w:t>
            </w:r>
            <w:proofErr w:type="spellEnd"/>
            <w:r w:rsidRPr="00EA2B44">
              <w:rPr>
                <w:rFonts w:ascii="Times New Roman" w:hAnsi="Times New Roman"/>
                <w:i/>
                <w:sz w:val="20"/>
                <w:szCs w:val="20"/>
              </w:rPr>
              <w:t xml:space="preserve"> are </w:t>
            </w:r>
            <w:proofErr w:type="spellStart"/>
            <w:r w:rsidRPr="00EA2B44">
              <w:rPr>
                <w:rFonts w:ascii="Times New Roman" w:hAnsi="Times New Roman"/>
                <w:i/>
                <w:sz w:val="20"/>
                <w:szCs w:val="20"/>
              </w:rPr>
              <w:t>overhead</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costs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e.g</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communication</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and</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planning</w:t>
            </w:r>
            <w:proofErr w:type="spellEnd"/>
            <w:r w:rsidRPr="00EA2B44">
              <w:rPr>
                <w:rFonts w:ascii="Times New Roman" w:hAnsi="Times New Roman"/>
                <w:i/>
                <w:sz w:val="20"/>
                <w:szCs w:val="20"/>
              </w:rPr>
              <w:t>.</w:t>
            </w:r>
          </w:p>
          <w:p w14:paraId="10A589DC" w14:textId="77777777" w:rsidR="00424F47" w:rsidRPr="00EA2B44" w:rsidRDefault="00424F47" w:rsidP="00424F47">
            <w:pPr>
              <w:jc w:val="both"/>
              <w:rPr>
                <w:rFonts w:ascii="Times New Roman" w:hAnsi="Times New Roman"/>
                <w:i/>
                <w:sz w:val="20"/>
                <w:szCs w:val="20"/>
              </w:rPr>
            </w:pPr>
            <w:proofErr w:type="spellStart"/>
            <w:r w:rsidRPr="00EA2B44">
              <w:rPr>
                <w:rFonts w:ascii="Times New Roman" w:hAnsi="Times New Roman"/>
                <w:i/>
                <w:sz w:val="20"/>
                <w:szCs w:val="20"/>
              </w:rPr>
              <w:t>We</w:t>
            </w:r>
            <w:proofErr w:type="spellEnd"/>
            <w:r w:rsidRPr="00EA2B44">
              <w:rPr>
                <w:rFonts w:ascii="Times New Roman" w:hAnsi="Times New Roman"/>
                <w:i/>
                <w:sz w:val="20"/>
                <w:szCs w:val="20"/>
              </w:rPr>
              <w:t xml:space="preserve"> are </w:t>
            </w:r>
            <w:proofErr w:type="spellStart"/>
            <w:r w:rsidRPr="00EA2B44">
              <w:rPr>
                <w:rFonts w:ascii="Times New Roman" w:hAnsi="Times New Roman"/>
                <w:i/>
                <w:sz w:val="20"/>
                <w:szCs w:val="20"/>
              </w:rPr>
              <w:t>open</w:t>
            </w:r>
            <w:proofErr w:type="spellEnd"/>
            <w:r w:rsidRPr="00EA2B44">
              <w:rPr>
                <w:rFonts w:ascii="Times New Roman" w:hAnsi="Times New Roman"/>
                <w:i/>
                <w:sz w:val="20"/>
                <w:szCs w:val="20"/>
              </w:rPr>
              <w:t xml:space="preserve"> to </w:t>
            </w:r>
            <w:proofErr w:type="spellStart"/>
            <w:r w:rsidRPr="00EA2B44">
              <w:rPr>
                <w:rFonts w:ascii="Times New Roman" w:hAnsi="Times New Roman"/>
                <w:i/>
                <w:sz w:val="20"/>
                <w:szCs w:val="20"/>
              </w:rPr>
              <w:t>offer</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additional</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services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This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can</w:t>
            </w:r>
            <w:proofErr w:type="spellEnd"/>
            <w:r w:rsidRPr="00EA2B44">
              <w:rPr>
                <w:rFonts w:ascii="Times New Roman" w:hAnsi="Times New Roman"/>
                <w:i/>
                <w:sz w:val="20"/>
                <w:szCs w:val="20"/>
              </w:rPr>
              <w:t xml:space="preserve"> be </w:t>
            </w:r>
            <w:proofErr w:type="spellStart"/>
            <w:r w:rsidRPr="00EA2B44">
              <w:rPr>
                <w:rFonts w:ascii="Times New Roman" w:hAnsi="Times New Roman"/>
                <w:i/>
                <w:sz w:val="20"/>
                <w:szCs w:val="20"/>
              </w:rPr>
              <w:t>addressing</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requests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for</w:t>
            </w:r>
            <w:proofErr w:type="spellEnd"/>
            <w:r w:rsidRPr="00EA2B44">
              <w:rPr>
                <w:rFonts w:ascii="Times New Roman" w:hAnsi="Times New Roman"/>
                <w:i/>
                <w:sz w:val="20"/>
                <w:szCs w:val="20"/>
              </w:rPr>
              <w:t xml:space="preserve"> a </w:t>
            </w:r>
            <w:proofErr w:type="spellStart"/>
            <w:r w:rsidRPr="00EA2B44">
              <w:rPr>
                <w:rFonts w:ascii="Times New Roman" w:hAnsi="Times New Roman"/>
                <w:i/>
                <w:sz w:val="20"/>
                <w:szCs w:val="20"/>
              </w:rPr>
              <w:t>collaboration</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going</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beyond</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the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seminars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and</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consultations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such</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as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e.g</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conducting</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analysis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or</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reviewing</w:t>
            </w:r>
            <w:proofErr w:type="spellEnd"/>
            <w:r w:rsidRPr="00EA2B44">
              <w:rPr>
                <w:rFonts w:ascii="Times New Roman" w:hAnsi="Times New Roman"/>
                <w:i/>
                <w:sz w:val="20"/>
                <w:szCs w:val="20"/>
              </w:rPr>
              <w:t>/</w:t>
            </w:r>
            <w:proofErr w:type="spellStart"/>
            <w:r w:rsidRPr="00EA2B44">
              <w:rPr>
                <w:rFonts w:ascii="Times New Roman" w:hAnsi="Times New Roman"/>
                <w:i/>
                <w:sz w:val="20"/>
                <w:szCs w:val="20"/>
              </w:rPr>
              <w:t>co-authoring</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texts</w:t>
            </w:r>
            <w:proofErr w:type="spellEnd"/>
            <w:r w:rsidRPr="00EA2B44">
              <w:rPr>
                <w:rFonts w:ascii="Times New Roman" w:hAnsi="Times New Roman"/>
                <w:i/>
                <w:sz w:val="20"/>
                <w:szCs w:val="20"/>
              </w:rPr>
              <w:t>/</w:t>
            </w:r>
            <w:proofErr w:type="spellStart"/>
            <w:r w:rsidRPr="00EA2B44">
              <w:rPr>
                <w:rFonts w:ascii="Times New Roman" w:hAnsi="Times New Roman"/>
                <w:i/>
                <w:sz w:val="20"/>
                <w:szCs w:val="20"/>
              </w:rPr>
              <w:t>publications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The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daily</w:t>
            </w:r>
            <w:proofErr w:type="spellEnd"/>
            <w:r w:rsidRPr="00EA2B44">
              <w:rPr>
                <w:rFonts w:ascii="Times New Roman" w:hAnsi="Times New Roman"/>
                <w:i/>
                <w:sz w:val="20"/>
                <w:szCs w:val="20"/>
              </w:rPr>
              <w:t xml:space="preserve"> rate </w:t>
            </w:r>
            <w:proofErr w:type="spellStart"/>
            <w:r w:rsidRPr="00EA2B44">
              <w:rPr>
                <w:rFonts w:ascii="Times New Roman" w:hAnsi="Times New Roman"/>
                <w:i/>
                <w:sz w:val="20"/>
                <w:szCs w:val="20"/>
              </w:rPr>
              <w:t>for</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such</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services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is</w:t>
            </w:r>
            <w:proofErr w:type="spellEnd"/>
            <w:r w:rsidRPr="00EA2B44">
              <w:rPr>
                <w:rFonts w:ascii="Times New Roman" w:hAnsi="Times New Roman"/>
                <w:i/>
                <w:sz w:val="20"/>
                <w:szCs w:val="20"/>
              </w:rPr>
              <w:t xml:space="preserve"> € 960.</w:t>
            </w:r>
          </w:p>
        </w:tc>
        <w:tc>
          <w:tcPr>
            <w:tcW w:w="3465" w:type="dxa"/>
          </w:tcPr>
          <w:p w14:paraId="164C56D0" w14:textId="77777777" w:rsidR="00424F47" w:rsidRPr="00EA2B44" w:rsidRDefault="00424F47" w:rsidP="00424F47">
            <w:pPr>
              <w:jc w:val="both"/>
              <w:rPr>
                <w:rFonts w:ascii="Times New Roman" w:hAnsi="Times New Roman"/>
                <w:i/>
                <w:sz w:val="20"/>
                <w:szCs w:val="20"/>
              </w:rPr>
            </w:pPr>
            <w:r w:rsidRPr="00EA2B44">
              <w:rPr>
                <w:rFonts w:ascii="Times New Roman" w:hAnsi="Times New Roman"/>
                <w:b/>
                <w:bCs/>
                <w:i/>
                <w:sz w:val="20"/>
                <w:szCs w:val="20"/>
              </w:rPr>
              <w:t>Žemiau nurodyta kaina apima preliminarų įvertinimą už paslaugas, numatytas dabartiniame kvietimo projekte. Seminarų išlaidos sudaro apie 89 % biudžeto; konsultacijos – apie 8 %, papildomai įtrauktos bendrosios išlaidos, pvz., komunikacija ir planavimas.</w:t>
            </w:r>
          </w:p>
          <w:p w14:paraId="6FFBCD56" w14:textId="1C45A204" w:rsidR="00424F47" w:rsidRPr="00EA2B44" w:rsidRDefault="00424F47" w:rsidP="00424F47">
            <w:pPr>
              <w:jc w:val="both"/>
              <w:rPr>
                <w:rFonts w:ascii="Times New Roman" w:hAnsi="Times New Roman"/>
                <w:i/>
                <w:sz w:val="20"/>
                <w:szCs w:val="20"/>
              </w:rPr>
            </w:pPr>
            <w:r w:rsidRPr="00EA2B44">
              <w:rPr>
                <w:rFonts w:ascii="Times New Roman" w:hAnsi="Times New Roman"/>
                <w:i/>
                <w:sz w:val="20"/>
                <w:szCs w:val="20"/>
              </w:rPr>
              <w:t xml:space="preserve">Esame atviri siūlyti papildomas paslaugas. Tai gali būti prašymai bendradarbiauti už seminarų ir konsultacijų ribų, pavyzdžiui, atlikti analizę ar peržiūrėti / </w:t>
            </w:r>
            <w:proofErr w:type="spellStart"/>
            <w:r w:rsidRPr="00EA2B44">
              <w:rPr>
                <w:rFonts w:ascii="Times New Roman" w:hAnsi="Times New Roman"/>
                <w:i/>
                <w:sz w:val="20"/>
                <w:szCs w:val="20"/>
              </w:rPr>
              <w:t>bendraautoriauti</w:t>
            </w:r>
            <w:proofErr w:type="spellEnd"/>
            <w:r w:rsidRPr="00EA2B44">
              <w:rPr>
                <w:rFonts w:ascii="Times New Roman" w:hAnsi="Times New Roman"/>
                <w:i/>
                <w:sz w:val="20"/>
                <w:szCs w:val="20"/>
              </w:rPr>
              <w:t xml:space="preserve"> tekstus / publikacijas. Tokios paslaugos dienos įkainis yra </w:t>
            </w:r>
            <w:r w:rsidRPr="00EA2B44">
              <w:rPr>
                <w:rFonts w:ascii="Times New Roman" w:hAnsi="Times New Roman"/>
                <w:b/>
                <w:bCs/>
                <w:i/>
                <w:sz w:val="20"/>
                <w:szCs w:val="20"/>
              </w:rPr>
              <w:t>960 €</w:t>
            </w:r>
            <w:r w:rsidRPr="00EA2B44">
              <w:rPr>
                <w:rFonts w:ascii="Times New Roman" w:hAnsi="Times New Roman"/>
                <w:i/>
                <w:sz w:val="20"/>
                <w:szCs w:val="20"/>
              </w:rPr>
              <w:t>.</w:t>
            </w:r>
          </w:p>
        </w:tc>
        <w:tc>
          <w:tcPr>
            <w:tcW w:w="3650" w:type="dxa"/>
          </w:tcPr>
          <w:p w14:paraId="26F53406" w14:textId="77777777" w:rsidR="003A7610" w:rsidRDefault="003A7610" w:rsidP="00424F47">
            <w:pPr>
              <w:jc w:val="both"/>
              <w:rPr>
                <w:rFonts w:ascii="Times New Roman" w:hAnsi="Times New Roman"/>
                <w:iCs/>
                <w:color w:val="EE0000"/>
                <w:sz w:val="20"/>
                <w:szCs w:val="20"/>
              </w:rPr>
            </w:pPr>
            <w:r w:rsidRPr="003A7610">
              <w:rPr>
                <w:rFonts w:ascii="Times New Roman" w:hAnsi="Times New Roman"/>
                <w:iCs/>
                <w:color w:val="EE0000"/>
                <w:sz w:val="20"/>
                <w:szCs w:val="20"/>
              </w:rPr>
              <w:t>Papildoma publikacijų rengimo paslauga šiame pirkime nenumatyta. Publikacijų klausimai gali būti aptariami konsultacijų metu. Bendradarbiavimo galimybės dėl publikacijų gali būti svarstomos ir kitų būsimų sutarčių kontekste</w:t>
            </w:r>
          </w:p>
          <w:p w14:paraId="6D9E3BAD" w14:textId="37E9FF55" w:rsidR="00424F47" w:rsidRPr="000E64D6" w:rsidRDefault="001C5307" w:rsidP="00424F47">
            <w:pPr>
              <w:jc w:val="both"/>
              <w:rPr>
                <w:rFonts w:ascii="Times New Roman" w:hAnsi="Times New Roman"/>
                <w:iCs/>
                <w:color w:val="EE0000"/>
                <w:sz w:val="20"/>
                <w:szCs w:val="20"/>
              </w:rPr>
            </w:pPr>
            <w:proofErr w:type="spellStart"/>
            <w:r w:rsidRPr="001C5307">
              <w:rPr>
                <w:rFonts w:ascii="Times New Roman" w:hAnsi="Times New Roman"/>
                <w:b/>
                <w:bCs/>
                <w:iCs/>
                <w:color w:val="000000" w:themeColor="text1"/>
                <w:sz w:val="20"/>
                <w:szCs w:val="20"/>
              </w:rPr>
              <w:t>An</w:t>
            </w:r>
            <w:proofErr w:type="spellEnd"/>
            <w:r w:rsidRPr="001C5307">
              <w:rPr>
                <w:rFonts w:ascii="Times New Roman" w:hAnsi="Times New Roman"/>
                <w:b/>
                <w:bCs/>
                <w:iCs/>
                <w:color w:val="000000" w:themeColor="text1"/>
                <w:sz w:val="20"/>
                <w:szCs w:val="20"/>
              </w:rPr>
              <w:t xml:space="preserve"> </w:t>
            </w:r>
            <w:proofErr w:type="spellStart"/>
            <w:r w:rsidRPr="001C5307">
              <w:rPr>
                <w:rFonts w:ascii="Times New Roman" w:hAnsi="Times New Roman"/>
                <w:b/>
                <w:bCs/>
                <w:iCs/>
                <w:color w:val="000000" w:themeColor="text1"/>
                <w:sz w:val="20"/>
                <w:szCs w:val="20"/>
              </w:rPr>
              <w:t>additional</w:t>
            </w:r>
            <w:proofErr w:type="spellEnd"/>
            <w:r w:rsidRPr="001C5307">
              <w:rPr>
                <w:rFonts w:ascii="Times New Roman" w:hAnsi="Times New Roman"/>
                <w:b/>
                <w:bCs/>
                <w:iCs/>
                <w:color w:val="000000" w:themeColor="text1"/>
                <w:sz w:val="20"/>
                <w:szCs w:val="20"/>
              </w:rPr>
              <w:t xml:space="preserve"> </w:t>
            </w:r>
            <w:proofErr w:type="spellStart"/>
            <w:r w:rsidRPr="001C5307">
              <w:rPr>
                <w:rFonts w:ascii="Times New Roman" w:hAnsi="Times New Roman"/>
                <w:b/>
                <w:bCs/>
                <w:iCs/>
                <w:color w:val="000000" w:themeColor="text1"/>
                <w:sz w:val="20"/>
                <w:szCs w:val="20"/>
              </w:rPr>
              <w:t>service</w:t>
            </w:r>
            <w:proofErr w:type="spellEnd"/>
            <w:r w:rsidRPr="001C5307">
              <w:rPr>
                <w:rFonts w:ascii="Times New Roman" w:hAnsi="Times New Roman"/>
                <w:b/>
                <w:bCs/>
                <w:iCs/>
                <w:color w:val="000000" w:themeColor="text1"/>
                <w:sz w:val="20"/>
                <w:szCs w:val="20"/>
              </w:rPr>
              <w:t xml:space="preserve"> </w:t>
            </w:r>
            <w:proofErr w:type="spellStart"/>
            <w:r w:rsidRPr="001C5307">
              <w:rPr>
                <w:rFonts w:ascii="Times New Roman" w:hAnsi="Times New Roman"/>
                <w:b/>
                <w:bCs/>
                <w:iCs/>
                <w:color w:val="000000" w:themeColor="text1"/>
                <w:sz w:val="20"/>
                <w:szCs w:val="20"/>
              </w:rPr>
              <w:t>for</w:t>
            </w:r>
            <w:proofErr w:type="spellEnd"/>
            <w:r w:rsidRPr="001C5307">
              <w:rPr>
                <w:rFonts w:ascii="Times New Roman" w:hAnsi="Times New Roman"/>
                <w:b/>
                <w:bCs/>
                <w:iCs/>
                <w:color w:val="000000" w:themeColor="text1"/>
                <w:sz w:val="20"/>
                <w:szCs w:val="20"/>
              </w:rPr>
              <w:t xml:space="preserve"> </w:t>
            </w:r>
            <w:proofErr w:type="spellStart"/>
            <w:r w:rsidRPr="001C5307">
              <w:rPr>
                <w:rFonts w:ascii="Times New Roman" w:hAnsi="Times New Roman"/>
                <w:b/>
                <w:bCs/>
                <w:iCs/>
                <w:color w:val="000000" w:themeColor="text1"/>
                <w:sz w:val="20"/>
                <w:szCs w:val="20"/>
              </w:rPr>
              <w:t>publications</w:t>
            </w:r>
            <w:proofErr w:type="spellEnd"/>
            <w:r w:rsidRPr="001C5307">
              <w:rPr>
                <w:rFonts w:ascii="Times New Roman" w:hAnsi="Times New Roman"/>
                <w:b/>
                <w:bCs/>
                <w:iCs/>
                <w:color w:val="000000" w:themeColor="text1"/>
                <w:sz w:val="20"/>
                <w:szCs w:val="20"/>
              </w:rPr>
              <w:t xml:space="preserve"> </w:t>
            </w:r>
            <w:proofErr w:type="spellStart"/>
            <w:r w:rsidRPr="001C5307">
              <w:rPr>
                <w:rFonts w:ascii="Times New Roman" w:hAnsi="Times New Roman"/>
                <w:b/>
                <w:bCs/>
                <w:iCs/>
                <w:color w:val="000000" w:themeColor="text1"/>
                <w:sz w:val="20"/>
                <w:szCs w:val="20"/>
              </w:rPr>
              <w:t>is</w:t>
            </w:r>
            <w:proofErr w:type="spellEnd"/>
            <w:r w:rsidRPr="001C5307">
              <w:rPr>
                <w:rFonts w:ascii="Times New Roman" w:hAnsi="Times New Roman"/>
                <w:b/>
                <w:bCs/>
                <w:iCs/>
                <w:color w:val="000000" w:themeColor="text1"/>
                <w:sz w:val="20"/>
                <w:szCs w:val="20"/>
              </w:rPr>
              <w:t xml:space="preserve"> </w:t>
            </w:r>
            <w:proofErr w:type="spellStart"/>
            <w:r w:rsidRPr="001C5307">
              <w:rPr>
                <w:rFonts w:ascii="Times New Roman" w:hAnsi="Times New Roman"/>
                <w:b/>
                <w:bCs/>
                <w:iCs/>
                <w:color w:val="000000" w:themeColor="text1"/>
                <w:sz w:val="20"/>
                <w:szCs w:val="20"/>
              </w:rPr>
              <w:t>not</w:t>
            </w:r>
            <w:proofErr w:type="spellEnd"/>
            <w:r w:rsidRPr="001C5307">
              <w:rPr>
                <w:rFonts w:ascii="Times New Roman" w:hAnsi="Times New Roman"/>
                <w:b/>
                <w:bCs/>
                <w:iCs/>
                <w:color w:val="000000" w:themeColor="text1"/>
                <w:sz w:val="20"/>
                <w:szCs w:val="20"/>
              </w:rPr>
              <w:t xml:space="preserve"> </w:t>
            </w:r>
            <w:proofErr w:type="spellStart"/>
            <w:r w:rsidRPr="001C5307">
              <w:rPr>
                <w:rFonts w:ascii="Times New Roman" w:hAnsi="Times New Roman"/>
                <w:b/>
                <w:bCs/>
                <w:iCs/>
                <w:color w:val="000000" w:themeColor="text1"/>
                <w:sz w:val="20"/>
                <w:szCs w:val="20"/>
              </w:rPr>
              <w:t>included</w:t>
            </w:r>
            <w:proofErr w:type="spellEnd"/>
            <w:r w:rsidRPr="001C5307">
              <w:rPr>
                <w:rFonts w:ascii="Times New Roman" w:hAnsi="Times New Roman"/>
                <w:b/>
                <w:bCs/>
                <w:iCs/>
                <w:color w:val="000000" w:themeColor="text1"/>
                <w:sz w:val="20"/>
                <w:szCs w:val="20"/>
              </w:rPr>
              <w:t xml:space="preserve"> </w:t>
            </w:r>
            <w:proofErr w:type="spellStart"/>
            <w:r w:rsidRPr="001C5307">
              <w:rPr>
                <w:rFonts w:ascii="Times New Roman" w:hAnsi="Times New Roman"/>
                <w:b/>
                <w:bCs/>
                <w:iCs/>
                <w:color w:val="000000" w:themeColor="text1"/>
                <w:sz w:val="20"/>
                <w:szCs w:val="20"/>
              </w:rPr>
              <w:t>in</w:t>
            </w:r>
            <w:proofErr w:type="spellEnd"/>
            <w:r w:rsidRPr="001C5307">
              <w:rPr>
                <w:rFonts w:ascii="Times New Roman" w:hAnsi="Times New Roman"/>
                <w:b/>
                <w:bCs/>
                <w:iCs/>
                <w:color w:val="000000" w:themeColor="text1"/>
                <w:sz w:val="20"/>
                <w:szCs w:val="20"/>
              </w:rPr>
              <w:t xml:space="preserve"> </w:t>
            </w:r>
            <w:proofErr w:type="spellStart"/>
            <w:r w:rsidRPr="001C5307">
              <w:rPr>
                <w:rFonts w:ascii="Times New Roman" w:hAnsi="Times New Roman"/>
                <w:b/>
                <w:bCs/>
                <w:iCs/>
                <w:color w:val="000000" w:themeColor="text1"/>
                <w:sz w:val="20"/>
                <w:szCs w:val="20"/>
              </w:rPr>
              <w:t>this</w:t>
            </w:r>
            <w:proofErr w:type="spellEnd"/>
            <w:r w:rsidRPr="001C5307">
              <w:rPr>
                <w:rFonts w:ascii="Times New Roman" w:hAnsi="Times New Roman"/>
                <w:b/>
                <w:bCs/>
                <w:iCs/>
                <w:color w:val="000000" w:themeColor="text1"/>
                <w:sz w:val="20"/>
                <w:szCs w:val="20"/>
              </w:rPr>
              <w:t xml:space="preserve"> </w:t>
            </w:r>
            <w:proofErr w:type="spellStart"/>
            <w:r w:rsidRPr="001C5307">
              <w:rPr>
                <w:rFonts w:ascii="Times New Roman" w:hAnsi="Times New Roman"/>
                <w:b/>
                <w:bCs/>
                <w:iCs/>
                <w:color w:val="000000" w:themeColor="text1"/>
                <w:sz w:val="20"/>
                <w:szCs w:val="20"/>
              </w:rPr>
              <w:t>procurement</w:t>
            </w:r>
            <w:proofErr w:type="spellEnd"/>
            <w:r w:rsidRPr="001C5307">
              <w:rPr>
                <w:rFonts w:ascii="Times New Roman" w:hAnsi="Times New Roman"/>
                <w:b/>
                <w:bCs/>
                <w:iCs/>
                <w:color w:val="000000" w:themeColor="text1"/>
                <w:sz w:val="20"/>
                <w:szCs w:val="20"/>
              </w:rPr>
              <w:t xml:space="preserve">. </w:t>
            </w:r>
            <w:proofErr w:type="spellStart"/>
            <w:r w:rsidRPr="001C5307">
              <w:rPr>
                <w:rFonts w:ascii="Times New Roman" w:hAnsi="Times New Roman"/>
                <w:b/>
                <w:bCs/>
                <w:iCs/>
                <w:color w:val="000000" w:themeColor="text1"/>
                <w:sz w:val="20"/>
                <w:szCs w:val="20"/>
              </w:rPr>
              <w:t>However</w:t>
            </w:r>
            <w:proofErr w:type="spellEnd"/>
            <w:r w:rsidRPr="001C5307">
              <w:rPr>
                <w:rFonts w:ascii="Times New Roman" w:hAnsi="Times New Roman"/>
                <w:b/>
                <w:bCs/>
                <w:iCs/>
                <w:color w:val="000000" w:themeColor="text1"/>
                <w:sz w:val="20"/>
                <w:szCs w:val="20"/>
              </w:rPr>
              <w:t xml:space="preserve">, </w:t>
            </w:r>
            <w:proofErr w:type="spellStart"/>
            <w:r w:rsidRPr="001C5307">
              <w:rPr>
                <w:rFonts w:ascii="Times New Roman" w:hAnsi="Times New Roman"/>
                <w:b/>
                <w:bCs/>
                <w:iCs/>
                <w:color w:val="000000" w:themeColor="text1"/>
                <w:sz w:val="20"/>
                <w:szCs w:val="20"/>
              </w:rPr>
              <w:t>the</w:t>
            </w:r>
            <w:proofErr w:type="spellEnd"/>
            <w:r w:rsidRPr="001C5307">
              <w:rPr>
                <w:rFonts w:ascii="Times New Roman" w:hAnsi="Times New Roman"/>
                <w:b/>
                <w:bCs/>
                <w:iCs/>
                <w:color w:val="000000" w:themeColor="text1"/>
                <w:sz w:val="20"/>
                <w:szCs w:val="20"/>
              </w:rPr>
              <w:t xml:space="preserve"> </w:t>
            </w:r>
            <w:proofErr w:type="spellStart"/>
            <w:r w:rsidRPr="001C5307">
              <w:rPr>
                <w:rFonts w:ascii="Times New Roman" w:hAnsi="Times New Roman"/>
                <w:b/>
                <w:bCs/>
                <w:iCs/>
                <w:color w:val="000000" w:themeColor="text1"/>
                <w:sz w:val="20"/>
                <w:szCs w:val="20"/>
              </w:rPr>
              <w:t>topic</w:t>
            </w:r>
            <w:proofErr w:type="spellEnd"/>
            <w:r w:rsidRPr="001C5307">
              <w:rPr>
                <w:rFonts w:ascii="Times New Roman" w:hAnsi="Times New Roman"/>
                <w:b/>
                <w:bCs/>
                <w:iCs/>
                <w:color w:val="000000" w:themeColor="text1"/>
                <w:sz w:val="20"/>
                <w:szCs w:val="20"/>
              </w:rPr>
              <w:t xml:space="preserve"> </w:t>
            </w:r>
            <w:proofErr w:type="spellStart"/>
            <w:r w:rsidRPr="001C5307">
              <w:rPr>
                <w:rFonts w:ascii="Times New Roman" w:hAnsi="Times New Roman"/>
                <w:b/>
                <w:bCs/>
                <w:iCs/>
                <w:color w:val="000000" w:themeColor="text1"/>
                <w:sz w:val="20"/>
                <w:szCs w:val="20"/>
              </w:rPr>
              <w:t>of</w:t>
            </w:r>
            <w:proofErr w:type="spellEnd"/>
            <w:r w:rsidRPr="001C5307">
              <w:rPr>
                <w:rFonts w:ascii="Times New Roman" w:hAnsi="Times New Roman"/>
                <w:b/>
                <w:bCs/>
                <w:iCs/>
                <w:color w:val="000000" w:themeColor="text1"/>
                <w:sz w:val="20"/>
                <w:szCs w:val="20"/>
              </w:rPr>
              <w:t xml:space="preserve"> </w:t>
            </w:r>
            <w:proofErr w:type="spellStart"/>
            <w:r w:rsidRPr="001C5307">
              <w:rPr>
                <w:rFonts w:ascii="Times New Roman" w:hAnsi="Times New Roman"/>
                <w:b/>
                <w:bCs/>
                <w:iCs/>
                <w:color w:val="000000" w:themeColor="text1"/>
                <w:sz w:val="20"/>
                <w:szCs w:val="20"/>
              </w:rPr>
              <w:t>publications</w:t>
            </w:r>
            <w:proofErr w:type="spellEnd"/>
            <w:r w:rsidRPr="001C5307">
              <w:rPr>
                <w:rFonts w:ascii="Times New Roman" w:hAnsi="Times New Roman"/>
                <w:b/>
                <w:bCs/>
                <w:iCs/>
                <w:color w:val="000000" w:themeColor="text1"/>
                <w:sz w:val="20"/>
                <w:szCs w:val="20"/>
              </w:rPr>
              <w:t xml:space="preserve"> </w:t>
            </w:r>
            <w:proofErr w:type="spellStart"/>
            <w:r w:rsidRPr="001C5307">
              <w:rPr>
                <w:rFonts w:ascii="Times New Roman" w:hAnsi="Times New Roman"/>
                <w:b/>
                <w:bCs/>
                <w:iCs/>
                <w:color w:val="000000" w:themeColor="text1"/>
                <w:sz w:val="20"/>
                <w:szCs w:val="20"/>
              </w:rPr>
              <w:t>may</w:t>
            </w:r>
            <w:proofErr w:type="spellEnd"/>
            <w:r w:rsidRPr="001C5307">
              <w:rPr>
                <w:rFonts w:ascii="Times New Roman" w:hAnsi="Times New Roman"/>
                <w:b/>
                <w:bCs/>
                <w:iCs/>
                <w:color w:val="000000" w:themeColor="text1"/>
                <w:sz w:val="20"/>
                <w:szCs w:val="20"/>
              </w:rPr>
              <w:t xml:space="preserve"> be </w:t>
            </w:r>
            <w:proofErr w:type="spellStart"/>
            <w:r w:rsidRPr="001C5307">
              <w:rPr>
                <w:rFonts w:ascii="Times New Roman" w:hAnsi="Times New Roman"/>
                <w:b/>
                <w:bCs/>
                <w:iCs/>
                <w:color w:val="000000" w:themeColor="text1"/>
                <w:sz w:val="20"/>
                <w:szCs w:val="20"/>
              </w:rPr>
              <w:t>discussed</w:t>
            </w:r>
            <w:proofErr w:type="spellEnd"/>
            <w:r w:rsidRPr="001C5307">
              <w:rPr>
                <w:rFonts w:ascii="Times New Roman" w:hAnsi="Times New Roman"/>
                <w:b/>
                <w:bCs/>
                <w:iCs/>
                <w:color w:val="000000" w:themeColor="text1"/>
                <w:sz w:val="20"/>
                <w:szCs w:val="20"/>
              </w:rPr>
              <w:t xml:space="preserve"> </w:t>
            </w:r>
            <w:proofErr w:type="spellStart"/>
            <w:r w:rsidRPr="001C5307">
              <w:rPr>
                <w:rFonts w:ascii="Times New Roman" w:hAnsi="Times New Roman"/>
                <w:b/>
                <w:bCs/>
                <w:iCs/>
                <w:color w:val="000000" w:themeColor="text1"/>
                <w:sz w:val="20"/>
                <w:szCs w:val="20"/>
              </w:rPr>
              <w:t>during</w:t>
            </w:r>
            <w:proofErr w:type="spellEnd"/>
            <w:r w:rsidRPr="001C5307">
              <w:rPr>
                <w:rFonts w:ascii="Times New Roman" w:hAnsi="Times New Roman"/>
                <w:b/>
                <w:bCs/>
                <w:iCs/>
                <w:color w:val="000000" w:themeColor="text1"/>
                <w:sz w:val="20"/>
                <w:szCs w:val="20"/>
              </w:rPr>
              <w:t xml:space="preserve"> </w:t>
            </w:r>
            <w:proofErr w:type="spellStart"/>
            <w:r w:rsidRPr="001C5307">
              <w:rPr>
                <w:rFonts w:ascii="Times New Roman" w:hAnsi="Times New Roman"/>
                <w:b/>
                <w:bCs/>
                <w:iCs/>
                <w:color w:val="000000" w:themeColor="text1"/>
                <w:sz w:val="20"/>
                <w:szCs w:val="20"/>
              </w:rPr>
              <w:t>consultations</w:t>
            </w:r>
            <w:proofErr w:type="spellEnd"/>
            <w:r w:rsidRPr="001C5307">
              <w:rPr>
                <w:rFonts w:ascii="Times New Roman" w:hAnsi="Times New Roman"/>
                <w:b/>
                <w:bCs/>
                <w:iCs/>
                <w:color w:val="000000" w:themeColor="text1"/>
                <w:sz w:val="20"/>
                <w:szCs w:val="20"/>
              </w:rPr>
              <w:t xml:space="preserve">. </w:t>
            </w:r>
            <w:proofErr w:type="spellStart"/>
            <w:r w:rsidRPr="001C5307">
              <w:rPr>
                <w:rFonts w:ascii="Times New Roman" w:hAnsi="Times New Roman"/>
                <w:b/>
                <w:bCs/>
                <w:iCs/>
                <w:color w:val="000000" w:themeColor="text1"/>
                <w:sz w:val="20"/>
                <w:szCs w:val="20"/>
              </w:rPr>
              <w:t>Collaboration</w:t>
            </w:r>
            <w:proofErr w:type="spellEnd"/>
            <w:r w:rsidRPr="001C5307">
              <w:rPr>
                <w:rFonts w:ascii="Times New Roman" w:hAnsi="Times New Roman"/>
                <w:b/>
                <w:bCs/>
                <w:iCs/>
                <w:color w:val="000000" w:themeColor="text1"/>
                <w:sz w:val="20"/>
                <w:szCs w:val="20"/>
              </w:rPr>
              <w:t xml:space="preserve"> </w:t>
            </w:r>
            <w:proofErr w:type="spellStart"/>
            <w:r w:rsidRPr="001C5307">
              <w:rPr>
                <w:rFonts w:ascii="Times New Roman" w:hAnsi="Times New Roman"/>
                <w:b/>
                <w:bCs/>
                <w:iCs/>
                <w:color w:val="000000" w:themeColor="text1"/>
                <w:sz w:val="20"/>
                <w:szCs w:val="20"/>
              </w:rPr>
              <w:t>on</w:t>
            </w:r>
            <w:proofErr w:type="spellEnd"/>
            <w:r w:rsidRPr="001C5307">
              <w:rPr>
                <w:rFonts w:ascii="Times New Roman" w:hAnsi="Times New Roman"/>
                <w:b/>
                <w:bCs/>
                <w:iCs/>
                <w:color w:val="000000" w:themeColor="text1"/>
                <w:sz w:val="20"/>
                <w:szCs w:val="20"/>
              </w:rPr>
              <w:t xml:space="preserve"> </w:t>
            </w:r>
            <w:proofErr w:type="spellStart"/>
            <w:r w:rsidRPr="001C5307">
              <w:rPr>
                <w:rFonts w:ascii="Times New Roman" w:hAnsi="Times New Roman"/>
                <w:b/>
                <w:bCs/>
                <w:iCs/>
                <w:color w:val="000000" w:themeColor="text1"/>
                <w:sz w:val="20"/>
                <w:szCs w:val="20"/>
              </w:rPr>
              <w:t>publications</w:t>
            </w:r>
            <w:proofErr w:type="spellEnd"/>
            <w:r w:rsidRPr="001C5307">
              <w:rPr>
                <w:rFonts w:ascii="Times New Roman" w:hAnsi="Times New Roman"/>
                <w:b/>
                <w:bCs/>
                <w:iCs/>
                <w:color w:val="000000" w:themeColor="text1"/>
                <w:sz w:val="20"/>
                <w:szCs w:val="20"/>
              </w:rPr>
              <w:t xml:space="preserve"> </w:t>
            </w:r>
            <w:proofErr w:type="spellStart"/>
            <w:r w:rsidRPr="001C5307">
              <w:rPr>
                <w:rFonts w:ascii="Times New Roman" w:hAnsi="Times New Roman"/>
                <w:b/>
                <w:bCs/>
                <w:iCs/>
                <w:color w:val="000000" w:themeColor="text1"/>
                <w:sz w:val="20"/>
                <w:szCs w:val="20"/>
              </w:rPr>
              <w:t>may</w:t>
            </w:r>
            <w:proofErr w:type="spellEnd"/>
            <w:r w:rsidRPr="001C5307">
              <w:rPr>
                <w:rFonts w:ascii="Times New Roman" w:hAnsi="Times New Roman"/>
                <w:b/>
                <w:bCs/>
                <w:iCs/>
                <w:color w:val="000000" w:themeColor="text1"/>
                <w:sz w:val="20"/>
                <w:szCs w:val="20"/>
              </w:rPr>
              <w:t xml:space="preserve"> also be </w:t>
            </w:r>
            <w:proofErr w:type="spellStart"/>
            <w:r w:rsidRPr="001C5307">
              <w:rPr>
                <w:rFonts w:ascii="Times New Roman" w:hAnsi="Times New Roman"/>
                <w:b/>
                <w:bCs/>
                <w:iCs/>
                <w:color w:val="000000" w:themeColor="text1"/>
                <w:sz w:val="20"/>
                <w:szCs w:val="20"/>
              </w:rPr>
              <w:t>considered</w:t>
            </w:r>
            <w:proofErr w:type="spellEnd"/>
            <w:r w:rsidRPr="001C5307">
              <w:rPr>
                <w:rFonts w:ascii="Times New Roman" w:hAnsi="Times New Roman"/>
                <w:b/>
                <w:bCs/>
                <w:iCs/>
                <w:color w:val="000000" w:themeColor="text1"/>
                <w:sz w:val="20"/>
                <w:szCs w:val="20"/>
              </w:rPr>
              <w:t xml:space="preserve"> </w:t>
            </w:r>
            <w:proofErr w:type="spellStart"/>
            <w:r w:rsidRPr="001C5307">
              <w:rPr>
                <w:rFonts w:ascii="Times New Roman" w:hAnsi="Times New Roman"/>
                <w:b/>
                <w:bCs/>
                <w:iCs/>
                <w:color w:val="000000" w:themeColor="text1"/>
                <w:sz w:val="20"/>
                <w:szCs w:val="20"/>
              </w:rPr>
              <w:t>under</w:t>
            </w:r>
            <w:proofErr w:type="spellEnd"/>
            <w:r w:rsidRPr="001C5307">
              <w:rPr>
                <w:rFonts w:ascii="Times New Roman" w:hAnsi="Times New Roman"/>
                <w:b/>
                <w:bCs/>
                <w:iCs/>
                <w:color w:val="000000" w:themeColor="text1"/>
                <w:sz w:val="20"/>
                <w:szCs w:val="20"/>
              </w:rPr>
              <w:t xml:space="preserve"> </w:t>
            </w:r>
            <w:proofErr w:type="spellStart"/>
            <w:r w:rsidRPr="001C5307">
              <w:rPr>
                <w:rFonts w:ascii="Times New Roman" w:hAnsi="Times New Roman"/>
                <w:b/>
                <w:bCs/>
                <w:iCs/>
                <w:color w:val="000000" w:themeColor="text1"/>
                <w:sz w:val="20"/>
                <w:szCs w:val="20"/>
              </w:rPr>
              <w:t>future</w:t>
            </w:r>
            <w:proofErr w:type="spellEnd"/>
            <w:r w:rsidRPr="001C5307">
              <w:rPr>
                <w:rFonts w:ascii="Times New Roman" w:hAnsi="Times New Roman"/>
                <w:b/>
                <w:bCs/>
                <w:iCs/>
                <w:color w:val="000000" w:themeColor="text1"/>
                <w:sz w:val="20"/>
                <w:szCs w:val="20"/>
              </w:rPr>
              <w:t xml:space="preserve"> </w:t>
            </w:r>
            <w:proofErr w:type="spellStart"/>
            <w:r w:rsidRPr="001C5307">
              <w:rPr>
                <w:rFonts w:ascii="Times New Roman" w:hAnsi="Times New Roman"/>
                <w:b/>
                <w:bCs/>
                <w:iCs/>
                <w:color w:val="000000" w:themeColor="text1"/>
                <w:sz w:val="20"/>
                <w:szCs w:val="20"/>
              </w:rPr>
              <w:t>agreements</w:t>
            </w:r>
            <w:proofErr w:type="spellEnd"/>
            <w:r w:rsidR="00AD50F4">
              <w:rPr>
                <w:rFonts w:ascii="Times New Roman" w:hAnsi="Times New Roman"/>
                <w:iCs/>
                <w:color w:val="EE0000"/>
                <w:sz w:val="20"/>
                <w:szCs w:val="20"/>
              </w:rPr>
              <w:t xml:space="preserve"> </w:t>
            </w:r>
          </w:p>
        </w:tc>
      </w:tr>
      <w:tr w:rsidR="00424F47" w:rsidRPr="003E1CA5" w14:paraId="4628B64D" w14:textId="6A643ED3" w:rsidTr="00EA2B44">
        <w:trPr>
          <w:trHeight w:val="16"/>
        </w:trPr>
        <w:tc>
          <w:tcPr>
            <w:tcW w:w="0" w:type="auto"/>
            <w:vAlign w:val="center"/>
          </w:tcPr>
          <w:p w14:paraId="44746539" w14:textId="77777777" w:rsidR="00424F47" w:rsidRPr="00EA2B44" w:rsidRDefault="00424F47" w:rsidP="00424F47">
            <w:pPr>
              <w:pStyle w:val="Sraopastraipa"/>
              <w:numPr>
                <w:ilvl w:val="0"/>
                <w:numId w:val="1"/>
              </w:numPr>
              <w:tabs>
                <w:tab w:val="left" w:pos="0"/>
              </w:tabs>
              <w:spacing w:after="0" w:line="240" w:lineRule="auto"/>
              <w:ind w:left="0" w:firstLine="0"/>
              <w:jc w:val="center"/>
              <w:rPr>
                <w:rFonts w:ascii="Times New Roman" w:hAnsi="Times New Roman"/>
                <w:i/>
                <w:sz w:val="20"/>
                <w:szCs w:val="20"/>
              </w:rPr>
            </w:pPr>
          </w:p>
        </w:tc>
        <w:tc>
          <w:tcPr>
            <w:tcW w:w="3228" w:type="dxa"/>
            <w:vAlign w:val="center"/>
          </w:tcPr>
          <w:p w14:paraId="405C0F41" w14:textId="77777777" w:rsidR="00424F47" w:rsidRPr="00EA2B44" w:rsidRDefault="00424F47" w:rsidP="00424F47">
            <w:pPr>
              <w:jc w:val="both"/>
              <w:rPr>
                <w:rFonts w:ascii="Times New Roman" w:hAnsi="Times New Roman"/>
                <w:i/>
                <w:sz w:val="20"/>
                <w:szCs w:val="20"/>
              </w:rPr>
            </w:pPr>
            <w:proofErr w:type="spellStart"/>
            <w:r w:rsidRPr="00EA2B44">
              <w:rPr>
                <w:sz w:val="20"/>
                <w:szCs w:val="20"/>
              </w:rPr>
              <w:t>What</w:t>
            </w:r>
            <w:proofErr w:type="spellEnd"/>
            <w:r w:rsidRPr="00EA2B44">
              <w:rPr>
                <w:sz w:val="20"/>
                <w:szCs w:val="20"/>
              </w:rPr>
              <w:t xml:space="preserve"> </w:t>
            </w:r>
            <w:proofErr w:type="spellStart"/>
            <w:r w:rsidRPr="00EA2B44">
              <w:rPr>
                <w:sz w:val="20"/>
                <w:szCs w:val="20"/>
              </w:rPr>
              <w:t>qualification</w:t>
            </w:r>
            <w:proofErr w:type="spellEnd"/>
            <w:r w:rsidRPr="00EA2B44">
              <w:rPr>
                <w:sz w:val="20"/>
                <w:szCs w:val="20"/>
              </w:rPr>
              <w:t xml:space="preserve"> </w:t>
            </w:r>
            <w:proofErr w:type="spellStart"/>
            <w:r w:rsidRPr="00EA2B44">
              <w:rPr>
                <w:sz w:val="20"/>
                <w:szCs w:val="20"/>
              </w:rPr>
              <w:t>requirements</w:t>
            </w:r>
            <w:proofErr w:type="spellEnd"/>
            <w:r w:rsidRPr="00EA2B44">
              <w:rPr>
                <w:sz w:val="20"/>
                <w:szCs w:val="20"/>
              </w:rPr>
              <w:t xml:space="preserve"> </w:t>
            </w:r>
            <w:proofErr w:type="spellStart"/>
            <w:r w:rsidRPr="00EA2B44">
              <w:rPr>
                <w:sz w:val="20"/>
                <w:szCs w:val="20"/>
              </w:rPr>
              <w:t>would</w:t>
            </w:r>
            <w:proofErr w:type="spellEnd"/>
            <w:r w:rsidRPr="00EA2B44">
              <w:rPr>
                <w:sz w:val="20"/>
                <w:szCs w:val="20"/>
              </w:rPr>
              <w:t xml:space="preserve"> </w:t>
            </w:r>
            <w:proofErr w:type="spellStart"/>
            <w:r w:rsidRPr="00EA2B44">
              <w:rPr>
                <w:sz w:val="20"/>
                <w:szCs w:val="20"/>
              </w:rPr>
              <w:t>you</w:t>
            </w:r>
            <w:proofErr w:type="spellEnd"/>
            <w:r w:rsidRPr="00EA2B44">
              <w:rPr>
                <w:sz w:val="20"/>
                <w:szCs w:val="20"/>
              </w:rPr>
              <w:t xml:space="preserve"> </w:t>
            </w:r>
            <w:proofErr w:type="spellStart"/>
            <w:r w:rsidRPr="00EA2B44">
              <w:rPr>
                <w:sz w:val="20"/>
                <w:szCs w:val="20"/>
              </w:rPr>
              <w:t>propose</w:t>
            </w:r>
            <w:proofErr w:type="spellEnd"/>
            <w:r w:rsidRPr="00EA2B44">
              <w:rPr>
                <w:sz w:val="20"/>
                <w:szCs w:val="20"/>
              </w:rPr>
              <w:t xml:space="preserve"> </w:t>
            </w:r>
            <w:proofErr w:type="spellStart"/>
            <w:r w:rsidRPr="00EA2B44">
              <w:rPr>
                <w:sz w:val="20"/>
                <w:szCs w:val="20"/>
              </w:rPr>
              <w:t>for</w:t>
            </w:r>
            <w:proofErr w:type="spellEnd"/>
            <w:r w:rsidRPr="00EA2B44">
              <w:rPr>
                <w:sz w:val="20"/>
                <w:szCs w:val="20"/>
              </w:rPr>
              <w:t xml:space="preserve"> </w:t>
            </w:r>
            <w:proofErr w:type="spellStart"/>
            <w:r w:rsidRPr="00EA2B44">
              <w:rPr>
                <w:sz w:val="20"/>
                <w:szCs w:val="20"/>
              </w:rPr>
              <w:t>the</w:t>
            </w:r>
            <w:proofErr w:type="spellEnd"/>
            <w:r w:rsidRPr="00EA2B44">
              <w:rPr>
                <w:sz w:val="20"/>
                <w:szCs w:val="20"/>
              </w:rPr>
              <w:t xml:space="preserve"> </w:t>
            </w:r>
            <w:proofErr w:type="spellStart"/>
            <w:r w:rsidRPr="00EA2B44">
              <w:rPr>
                <w:sz w:val="20"/>
                <w:szCs w:val="20"/>
              </w:rPr>
              <w:t>procurement</w:t>
            </w:r>
            <w:proofErr w:type="spellEnd"/>
            <w:r w:rsidRPr="00EA2B44">
              <w:rPr>
                <w:sz w:val="20"/>
                <w:szCs w:val="20"/>
              </w:rPr>
              <w:t>?</w:t>
            </w:r>
          </w:p>
        </w:tc>
        <w:tc>
          <w:tcPr>
            <w:tcW w:w="3148" w:type="dxa"/>
          </w:tcPr>
          <w:p w14:paraId="26C1F865" w14:textId="77777777" w:rsidR="00424F47" w:rsidRPr="00EA2B44" w:rsidRDefault="00424F47" w:rsidP="00424F47">
            <w:pPr>
              <w:jc w:val="both"/>
              <w:rPr>
                <w:rFonts w:ascii="Times New Roman" w:hAnsi="Times New Roman"/>
                <w:i/>
                <w:sz w:val="20"/>
                <w:szCs w:val="20"/>
              </w:rPr>
            </w:pPr>
            <w:proofErr w:type="spellStart"/>
            <w:r w:rsidRPr="00EA2B44">
              <w:rPr>
                <w:rFonts w:ascii="Times New Roman" w:hAnsi="Times New Roman"/>
                <w:i/>
                <w:sz w:val="20"/>
                <w:szCs w:val="20"/>
              </w:rPr>
              <w:t>Unfortunately</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we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do</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not</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understand</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the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question</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which</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may</w:t>
            </w:r>
            <w:proofErr w:type="spellEnd"/>
            <w:r w:rsidRPr="00EA2B44">
              <w:rPr>
                <w:rFonts w:ascii="Times New Roman" w:hAnsi="Times New Roman"/>
                <w:i/>
                <w:sz w:val="20"/>
                <w:szCs w:val="20"/>
              </w:rPr>
              <w:t xml:space="preserve"> be </w:t>
            </w:r>
            <w:proofErr w:type="spellStart"/>
            <w:r w:rsidRPr="00EA2B44">
              <w:rPr>
                <w:rFonts w:ascii="Times New Roman" w:hAnsi="Times New Roman"/>
                <w:i/>
                <w:sz w:val="20"/>
                <w:szCs w:val="20"/>
              </w:rPr>
              <w:t>due</w:t>
            </w:r>
            <w:proofErr w:type="spellEnd"/>
            <w:r w:rsidRPr="00EA2B44">
              <w:rPr>
                <w:rFonts w:ascii="Times New Roman" w:hAnsi="Times New Roman"/>
                <w:i/>
                <w:sz w:val="20"/>
                <w:szCs w:val="20"/>
              </w:rPr>
              <w:t xml:space="preserve"> to </w:t>
            </w:r>
            <w:proofErr w:type="spellStart"/>
            <w:r w:rsidRPr="00EA2B44">
              <w:rPr>
                <w:rFonts w:ascii="Times New Roman" w:hAnsi="Times New Roman"/>
                <w:i/>
                <w:sz w:val="20"/>
                <w:szCs w:val="20"/>
              </w:rPr>
              <w:t>translation</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errors</w:t>
            </w:r>
            <w:proofErr w:type="spellEnd"/>
            <w:r w:rsidRPr="00EA2B44">
              <w:rPr>
                <w:rFonts w:ascii="Times New Roman" w:hAnsi="Times New Roman"/>
                <w:i/>
                <w:sz w:val="20"/>
                <w:szCs w:val="20"/>
              </w:rPr>
              <w:t xml:space="preserve">. </w:t>
            </w:r>
          </w:p>
          <w:p w14:paraId="7A6314FA" w14:textId="77777777" w:rsidR="00424F47" w:rsidRPr="00EA2B44" w:rsidRDefault="00424F47" w:rsidP="00424F47">
            <w:pPr>
              <w:jc w:val="both"/>
              <w:rPr>
                <w:rFonts w:ascii="Times New Roman" w:hAnsi="Times New Roman"/>
                <w:i/>
                <w:sz w:val="20"/>
                <w:szCs w:val="20"/>
              </w:rPr>
            </w:pPr>
            <w:proofErr w:type="spellStart"/>
            <w:r w:rsidRPr="00EA2B44">
              <w:rPr>
                <w:rFonts w:ascii="Times New Roman" w:hAnsi="Times New Roman"/>
                <w:i/>
                <w:sz w:val="20"/>
                <w:szCs w:val="20"/>
              </w:rPr>
              <w:t>If</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the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question</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is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about</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the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qualification</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of</w:t>
            </w:r>
            <w:proofErr w:type="spellEnd"/>
            <w:r w:rsidRPr="00EA2B44">
              <w:rPr>
                <w:rFonts w:ascii="Times New Roman" w:hAnsi="Times New Roman"/>
                <w:i/>
                <w:sz w:val="20"/>
                <w:szCs w:val="20"/>
              </w:rPr>
              <w:t xml:space="preserve"> a </w:t>
            </w:r>
            <w:proofErr w:type="spellStart"/>
            <w:r w:rsidRPr="00EA2B44">
              <w:rPr>
                <w:rFonts w:ascii="Times New Roman" w:hAnsi="Times New Roman"/>
                <w:i/>
                <w:sz w:val="20"/>
                <w:szCs w:val="20"/>
              </w:rPr>
              <w:t>reviewer</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of</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the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proposal</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we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propose</w:t>
            </w:r>
            <w:proofErr w:type="spellEnd"/>
            <w:r w:rsidRPr="00EA2B44">
              <w:rPr>
                <w:rFonts w:ascii="Times New Roman" w:hAnsi="Times New Roman"/>
                <w:i/>
                <w:sz w:val="20"/>
                <w:szCs w:val="20"/>
              </w:rPr>
              <w:t xml:space="preserve"> to </w:t>
            </w:r>
            <w:proofErr w:type="spellStart"/>
            <w:r w:rsidRPr="00EA2B44">
              <w:rPr>
                <w:rFonts w:ascii="Times New Roman" w:hAnsi="Times New Roman"/>
                <w:i/>
                <w:sz w:val="20"/>
                <w:szCs w:val="20"/>
              </w:rPr>
              <w:t>select</w:t>
            </w:r>
            <w:proofErr w:type="spellEnd"/>
            <w:r w:rsidRPr="00EA2B44">
              <w:rPr>
                <w:rFonts w:ascii="Times New Roman" w:hAnsi="Times New Roman"/>
                <w:i/>
                <w:sz w:val="20"/>
                <w:szCs w:val="20"/>
              </w:rPr>
              <w:t xml:space="preserve"> a </w:t>
            </w:r>
            <w:proofErr w:type="spellStart"/>
            <w:r w:rsidRPr="00EA2B44">
              <w:rPr>
                <w:rFonts w:ascii="Times New Roman" w:hAnsi="Times New Roman"/>
                <w:i/>
                <w:sz w:val="20"/>
                <w:szCs w:val="20"/>
              </w:rPr>
              <w:t>person</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with</w:t>
            </w:r>
            <w:proofErr w:type="spellEnd"/>
            <w:r w:rsidRPr="00EA2B44">
              <w:rPr>
                <w:rFonts w:ascii="Times New Roman" w:hAnsi="Times New Roman"/>
                <w:i/>
                <w:sz w:val="20"/>
                <w:szCs w:val="20"/>
              </w:rPr>
              <w:t xml:space="preserve"> a PhD </w:t>
            </w:r>
            <w:proofErr w:type="spellStart"/>
            <w:r w:rsidRPr="00EA2B44">
              <w:rPr>
                <w:rFonts w:ascii="Times New Roman" w:hAnsi="Times New Roman"/>
                <w:i/>
                <w:sz w:val="20"/>
                <w:szCs w:val="20"/>
              </w:rPr>
              <w:t>in</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education</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science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ideally</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with</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experience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in</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lastRenderedPageBreak/>
              <w:t>the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didactics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of</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aquiring</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skills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in</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the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full</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spectrum</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of</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research</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activities</w:t>
            </w:r>
            <w:proofErr w:type="spellEnd"/>
            <w:r w:rsidRPr="00EA2B44">
              <w:rPr>
                <w:rFonts w:ascii="Times New Roman" w:hAnsi="Times New Roman"/>
                <w:i/>
                <w:sz w:val="20"/>
                <w:szCs w:val="20"/>
              </w:rPr>
              <w:t xml:space="preserve">. </w:t>
            </w:r>
          </w:p>
        </w:tc>
        <w:tc>
          <w:tcPr>
            <w:tcW w:w="3465" w:type="dxa"/>
          </w:tcPr>
          <w:p w14:paraId="0176DDF3" w14:textId="77777777" w:rsidR="00424F47" w:rsidRPr="00EA2B44" w:rsidRDefault="00424F47" w:rsidP="00424F47">
            <w:pPr>
              <w:jc w:val="both"/>
              <w:rPr>
                <w:rFonts w:ascii="Times New Roman" w:hAnsi="Times New Roman"/>
                <w:i/>
                <w:sz w:val="20"/>
                <w:szCs w:val="20"/>
              </w:rPr>
            </w:pPr>
            <w:r w:rsidRPr="00EA2B44">
              <w:rPr>
                <w:rFonts w:ascii="Times New Roman" w:hAnsi="Times New Roman"/>
                <w:i/>
                <w:sz w:val="20"/>
                <w:szCs w:val="20"/>
              </w:rPr>
              <w:lastRenderedPageBreak/>
              <w:t>Deja, klausimo nesupratome – galimas vertimo netikslumas.</w:t>
            </w:r>
          </w:p>
          <w:p w14:paraId="122D289D" w14:textId="482D58AB" w:rsidR="00424F47" w:rsidRPr="00EA2B44" w:rsidRDefault="00424F47" w:rsidP="00424F47">
            <w:pPr>
              <w:jc w:val="both"/>
              <w:rPr>
                <w:rFonts w:ascii="Times New Roman" w:hAnsi="Times New Roman"/>
                <w:i/>
                <w:sz w:val="20"/>
                <w:szCs w:val="20"/>
              </w:rPr>
            </w:pPr>
            <w:r w:rsidRPr="00EA2B44">
              <w:rPr>
                <w:rFonts w:ascii="Times New Roman" w:hAnsi="Times New Roman"/>
                <w:i/>
                <w:sz w:val="20"/>
                <w:szCs w:val="20"/>
              </w:rPr>
              <w:t xml:space="preserve">Jei klausimas susijęs su pasiūlymo vertintojo kvalifikacija, siūlome pasirinkti asmenį, turintį edukologijos mokslo daktaro laipsnį, idealiu atveju – su patirtimi mokymo įgūdžių ugdymo </w:t>
            </w:r>
            <w:r w:rsidRPr="00EA2B44">
              <w:rPr>
                <w:rFonts w:ascii="Times New Roman" w:hAnsi="Times New Roman"/>
                <w:i/>
                <w:sz w:val="20"/>
                <w:szCs w:val="20"/>
              </w:rPr>
              <w:lastRenderedPageBreak/>
              <w:t>didaktikos srityje, apimančioje visą mokslinių tyrimų veiklų spektrą.</w:t>
            </w:r>
          </w:p>
        </w:tc>
        <w:tc>
          <w:tcPr>
            <w:tcW w:w="3650" w:type="dxa"/>
          </w:tcPr>
          <w:p w14:paraId="0169CA52" w14:textId="77777777" w:rsidR="00424F47" w:rsidRDefault="000C39CB" w:rsidP="00424F47">
            <w:pPr>
              <w:jc w:val="both"/>
              <w:rPr>
                <w:rFonts w:ascii="Times New Roman" w:hAnsi="Times New Roman"/>
                <w:iCs/>
                <w:color w:val="EE0000"/>
                <w:sz w:val="20"/>
                <w:szCs w:val="20"/>
              </w:rPr>
            </w:pPr>
            <w:r w:rsidRPr="00E52DF9">
              <w:rPr>
                <w:rFonts w:ascii="Times New Roman" w:hAnsi="Times New Roman"/>
                <w:iCs/>
                <w:color w:val="EE0000"/>
                <w:sz w:val="20"/>
                <w:szCs w:val="20"/>
              </w:rPr>
              <w:lastRenderedPageBreak/>
              <w:t>Dėkojame už siūlymus.</w:t>
            </w:r>
          </w:p>
          <w:p w14:paraId="22CB22E9" w14:textId="3F0F39BE" w:rsidR="00842B83" w:rsidRPr="00E52DF9" w:rsidRDefault="00842B83" w:rsidP="00424F47">
            <w:pPr>
              <w:jc w:val="both"/>
              <w:rPr>
                <w:rFonts w:ascii="Times New Roman" w:hAnsi="Times New Roman"/>
                <w:iCs/>
                <w:color w:val="EE0000"/>
                <w:sz w:val="20"/>
                <w:szCs w:val="20"/>
              </w:rPr>
            </w:pPr>
            <w:proofErr w:type="spellStart"/>
            <w:r w:rsidRPr="00842B83">
              <w:rPr>
                <w:rFonts w:ascii="Times New Roman" w:hAnsi="Times New Roman"/>
                <w:b/>
                <w:bCs/>
                <w:iCs/>
                <w:color w:val="000000" w:themeColor="text1"/>
                <w:sz w:val="20"/>
                <w:szCs w:val="20"/>
              </w:rPr>
              <w:t>Thank</w:t>
            </w:r>
            <w:proofErr w:type="spellEnd"/>
            <w:r w:rsidRPr="00842B83">
              <w:rPr>
                <w:rFonts w:ascii="Times New Roman" w:hAnsi="Times New Roman"/>
                <w:b/>
                <w:bCs/>
                <w:iCs/>
                <w:color w:val="000000" w:themeColor="text1"/>
                <w:sz w:val="20"/>
                <w:szCs w:val="20"/>
              </w:rPr>
              <w:t xml:space="preserve"> </w:t>
            </w:r>
            <w:proofErr w:type="spellStart"/>
            <w:r w:rsidRPr="00842B83">
              <w:rPr>
                <w:rFonts w:ascii="Times New Roman" w:hAnsi="Times New Roman"/>
                <w:b/>
                <w:bCs/>
                <w:iCs/>
                <w:color w:val="000000" w:themeColor="text1"/>
                <w:sz w:val="20"/>
                <w:szCs w:val="20"/>
              </w:rPr>
              <w:t>you</w:t>
            </w:r>
            <w:proofErr w:type="spellEnd"/>
            <w:r w:rsidRPr="00842B83">
              <w:rPr>
                <w:rFonts w:ascii="Times New Roman" w:hAnsi="Times New Roman"/>
                <w:b/>
                <w:bCs/>
                <w:iCs/>
                <w:color w:val="000000" w:themeColor="text1"/>
                <w:sz w:val="20"/>
                <w:szCs w:val="20"/>
              </w:rPr>
              <w:t xml:space="preserve"> </w:t>
            </w:r>
            <w:proofErr w:type="spellStart"/>
            <w:r w:rsidRPr="00842B83">
              <w:rPr>
                <w:rFonts w:ascii="Times New Roman" w:hAnsi="Times New Roman"/>
                <w:b/>
                <w:bCs/>
                <w:iCs/>
                <w:color w:val="000000" w:themeColor="text1"/>
                <w:sz w:val="20"/>
                <w:szCs w:val="20"/>
              </w:rPr>
              <w:t>for</w:t>
            </w:r>
            <w:proofErr w:type="spellEnd"/>
            <w:r w:rsidR="00FD36BA">
              <w:rPr>
                <w:rFonts w:ascii="Times New Roman" w:hAnsi="Times New Roman"/>
                <w:b/>
                <w:bCs/>
                <w:iCs/>
                <w:color w:val="000000" w:themeColor="text1"/>
                <w:sz w:val="20"/>
                <w:szCs w:val="20"/>
              </w:rPr>
              <w:t xml:space="preserve"> </w:t>
            </w:r>
            <w:proofErr w:type="spellStart"/>
            <w:r w:rsidR="00FD36BA">
              <w:rPr>
                <w:rFonts w:ascii="Times New Roman" w:hAnsi="Times New Roman"/>
                <w:b/>
                <w:bCs/>
                <w:iCs/>
                <w:color w:val="000000" w:themeColor="text1"/>
                <w:sz w:val="20"/>
                <w:szCs w:val="20"/>
              </w:rPr>
              <w:t>valuable</w:t>
            </w:r>
            <w:proofErr w:type="spellEnd"/>
            <w:r w:rsidRPr="00842B83">
              <w:rPr>
                <w:rFonts w:ascii="Times New Roman" w:hAnsi="Times New Roman"/>
                <w:b/>
                <w:bCs/>
                <w:iCs/>
                <w:color w:val="000000" w:themeColor="text1"/>
                <w:sz w:val="20"/>
                <w:szCs w:val="20"/>
              </w:rPr>
              <w:t xml:space="preserve"> </w:t>
            </w:r>
            <w:proofErr w:type="spellStart"/>
            <w:r w:rsidRPr="00842B83">
              <w:rPr>
                <w:rFonts w:ascii="Times New Roman" w:hAnsi="Times New Roman"/>
                <w:b/>
                <w:bCs/>
                <w:iCs/>
                <w:color w:val="000000" w:themeColor="text1"/>
                <w:sz w:val="20"/>
                <w:szCs w:val="20"/>
              </w:rPr>
              <w:t>suggestions</w:t>
            </w:r>
            <w:proofErr w:type="spellEnd"/>
            <w:r w:rsidRPr="00842B83">
              <w:rPr>
                <w:rFonts w:ascii="Times New Roman" w:hAnsi="Times New Roman"/>
                <w:b/>
                <w:bCs/>
                <w:iCs/>
                <w:color w:val="000000" w:themeColor="text1"/>
                <w:sz w:val="20"/>
                <w:szCs w:val="20"/>
              </w:rPr>
              <w:t>.</w:t>
            </w:r>
          </w:p>
        </w:tc>
      </w:tr>
      <w:tr w:rsidR="00424F47" w:rsidRPr="003E1CA5" w14:paraId="1CFF685B" w14:textId="6606FA97" w:rsidTr="00EA2B44">
        <w:trPr>
          <w:trHeight w:val="16"/>
        </w:trPr>
        <w:tc>
          <w:tcPr>
            <w:tcW w:w="0" w:type="auto"/>
            <w:vAlign w:val="center"/>
          </w:tcPr>
          <w:p w14:paraId="22E68F00" w14:textId="77777777" w:rsidR="00424F47" w:rsidRPr="00EA2B44" w:rsidRDefault="00424F47" w:rsidP="00424F47">
            <w:pPr>
              <w:pStyle w:val="Sraopastraipa"/>
              <w:numPr>
                <w:ilvl w:val="0"/>
                <w:numId w:val="1"/>
              </w:numPr>
              <w:tabs>
                <w:tab w:val="left" w:pos="0"/>
              </w:tabs>
              <w:spacing w:after="0" w:line="240" w:lineRule="auto"/>
              <w:ind w:left="0" w:firstLine="0"/>
              <w:jc w:val="center"/>
              <w:rPr>
                <w:rFonts w:ascii="Times New Roman" w:hAnsi="Times New Roman"/>
                <w:i/>
                <w:sz w:val="20"/>
                <w:szCs w:val="20"/>
              </w:rPr>
            </w:pPr>
          </w:p>
        </w:tc>
        <w:tc>
          <w:tcPr>
            <w:tcW w:w="3228" w:type="dxa"/>
            <w:vAlign w:val="center"/>
          </w:tcPr>
          <w:p w14:paraId="0208C37A" w14:textId="77777777" w:rsidR="00424F47" w:rsidRPr="00EA2B44" w:rsidRDefault="00424F47" w:rsidP="00424F47">
            <w:pPr>
              <w:jc w:val="both"/>
              <w:rPr>
                <w:rFonts w:ascii="Times New Roman" w:hAnsi="Times New Roman"/>
                <w:i/>
                <w:sz w:val="20"/>
                <w:szCs w:val="20"/>
              </w:rPr>
            </w:pPr>
            <w:proofErr w:type="spellStart"/>
            <w:r w:rsidRPr="00EA2B44">
              <w:rPr>
                <w:sz w:val="20"/>
                <w:szCs w:val="20"/>
              </w:rPr>
              <w:t>Do</w:t>
            </w:r>
            <w:proofErr w:type="spellEnd"/>
            <w:r w:rsidRPr="00EA2B44">
              <w:rPr>
                <w:sz w:val="20"/>
                <w:szCs w:val="20"/>
              </w:rPr>
              <w:t xml:space="preserve"> </w:t>
            </w:r>
            <w:proofErr w:type="spellStart"/>
            <w:r w:rsidRPr="00EA2B44">
              <w:rPr>
                <w:sz w:val="20"/>
                <w:szCs w:val="20"/>
              </w:rPr>
              <w:t>you</w:t>
            </w:r>
            <w:proofErr w:type="spellEnd"/>
            <w:r w:rsidRPr="00EA2B44">
              <w:rPr>
                <w:sz w:val="20"/>
                <w:szCs w:val="20"/>
              </w:rPr>
              <w:t xml:space="preserve"> </w:t>
            </w:r>
            <w:proofErr w:type="spellStart"/>
            <w:r w:rsidRPr="00EA2B44">
              <w:rPr>
                <w:sz w:val="20"/>
                <w:szCs w:val="20"/>
              </w:rPr>
              <w:t>have</w:t>
            </w:r>
            <w:proofErr w:type="spellEnd"/>
            <w:r w:rsidRPr="00EA2B44">
              <w:rPr>
                <w:sz w:val="20"/>
                <w:szCs w:val="20"/>
              </w:rPr>
              <w:t xml:space="preserve"> </w:t>
            </w:r>
            <w:proofErr w:type="spellStart"/>
            <w:r w:rsidRPr="00EA2B44">
              <w:rPr>
                <w:sz w:val="20"/>
                <w:szCs w:val="20"/>
              </w:rPr>
              <w:t>any</w:t>
            </w:r>
            <w:proofErr w:type="spellEnd"/>
            <w:r w:rsidRPr="00EA2B44">
              <w:rPr>
                <w:sz w:val="20"/>
                <w:szCs w:val="20"/>
              </w:rPr>
              <w:t xml:space="preserve"> </w:t>
            </w:r>
            <w:proofErr w:type="spellStart"/>
            <w:r w:rsidRPr="00EA2B44">
              <w:rPr>
                <w:sz w:val="20"/>
                <w:szCs w:val="20"/>
              </w:rPr>
              <w:t>other</w:t>
            </w:r>
            <w:proofErr w:type="spellEnd"/>
            <w:r w:rsidRPr="00EA2B44">
              <w:rPr>
                <w:sz w:val="20"/>
                <w:szCs w:val="20"/>
              </w:rPr>
              <w:t xml:space="preserve"> </w:t>
            </w:r>
            <w:proofErr w:type="spellStart"/>
            <w:r w:rsidRPr="00EA2B44">
              <w:rPr>
                <w:sz w:val="20"/>
                <w:szCs w:val="20"/>
              </w:rPr>
              <w:t>comments</w:t>
            </w:r>
            <w:proofErr w:type="spellEnd"/>
            <w:r w:rsidRPr="00EA2B44">
              <w:rPr>
                <w:sz w:val="20"/>
                <w:szCs w:val="20"/>
              </w:rPr>
              <w:t xml:space="preserve"> </w:t>
            </w:r>
            <w:proofErr w:type="spellStart"/>
            <w:r w:rsidRPr="00EA2B44">
              <w:rPr>
                <w:sz w:val="20"/>
                <w:szCs w:val="20"/>
              </w:rPr>
              <w:t>or</w:t>
            </w:r>
            <w:proofErr w:type="spellEnd"/>
            <w:r w:rsidRPr="00EA2B44">
              <w:rPr>
                <w:sz w:val="20"/>
                <w:szCs w:val="20"/>
              </w:rPr>
              <w:t xml:space="preserve"> </w:t>
            </w:r>
            <w:proofErr w:type="spellStart"/>
            <w:r w:rsidRPr="00EA2B44">
              <w:rPr>
                <w:sz w:val="20"/>
                <w:szCs w:val="20"/>
              </w:rPr>
              <w:t>suggestions</w:t>
            </w:r>
            <w:proofErr w:type="spellEnd"/>
            <w:r w:rsidRPr="00EA2B44">
              <w:rPr>
                <w:sz w:val="20"/>
                <w:szCs w:val="20"/>
              </w:rPr>
              <w:t>?</w:t>
            </w:r>
          </w:p>
        </w:tc>
        <w:tc>
          <w:tcPr>
            <w:tcW w:w="3148" w:type="dxa"/>
          </w:tcPr>
          <w:p w14:paraId="253FD5F2" w14:textId="77777777" w:rsidR="00424F47" w:rsidRPr="00EA2B44" w:rsidRDefault="00424F47" w:rsidP="00424F47">
            <w:pPr>
              <w:jc w:val="both"/>
              <w:rPr>
                <w:rFonts w:ascii="Times New Roman" w:hAnsi="Times New Roman"/>
                <w:i/>
                <w:sz w:val="20"/>
                <w:szCs w:val="20"/>
              </w:rPr>
            </w:pPr>
          </w:p>
        </w:tc>
        <w:tc>
          <w:tcPr>
            <w:tcW w:w="3465" w:type="dxa"/>
          </w:tcPr>
          <w:p w14:paraId="4D887A40" w14:textId="77777777" w:rsidR="00424F47" w:rsidRPr="00EA2B44" w:rsidRDefault="00424F47" w:rsidP="00424F47">
            <w:pPr>
              <w:jc w:val="both"/>
              <w:rPr>
                <w:rFonts w:ascii="Times New Roman" w:hAnsi="Times New Roman"/>
                <w:i/>
                <w:sz w:val="20"/>
                <w:szCs w:val="20"/>
              </w:rPr>
            </w:pPr>
          </w:p>
        </w:tc>
        <w:tc>
          <w:tcPr>
            <w:tcW w:w="3650" w:type="dxa"/>
          </w:tcPr>
          <w:p w14:paraId="34C86AAB" w14:textId="77777777" w:rsidR="00424F47" w:rsidRPr="000E64D6" w:rsidRDefault="00424F47" w:rsidP="00424F47">
            <w:pPr>
              <w:jc w:val="both"/>
              <w:rPr>
                <w:rFonts w:ascii="Times New Roman" w:hAnsi="Times New Roman"/>
                <w:i/>
                <w:color w:val="EE0000"/>
                <w:sz w:val="20"/>
                <w:szCs w:val="20"/>
              </w:rPr>
            </w:pPr>
          </w:p>
        </w:tc>
      </w:tr>
      <w:tr w:rsidR="00424F47" w:rsidRPr="003E1CA5" w14:paraId="20331430" w14:textId="07B0E69C" w:rsidTr="00EA2B44">
        <w:trPr>
          <w:trHeight w:val="16"/>
        </w:trPr>
        <w:tc>
          <w:tcPr>
            <w:tcW w:w="0" w:type="auto"/>
            <w:vAlign w:val="center"/>
          </w:tcPr>
          <w:p w14:paraId="0D532176" w14:textId="77777777" w:rsidR="00424F47" w:rsidRPr="00EA2B44" w:rsidRDefault="00424F47" w:rsidP="00424F47">
            <w:pPr>
              <w:pStyle w:val="Sraopastraipa"/>
              <w:numPr>
                <w:ilvl w:val="0"/>
                <w:numId w:val="1"/>
              </w:numPr>
              <w:tabs>
                <w:tab w:val="left" w:pos="0"/>
              </w:tabs>
              <w:spacing w:after="0" w:line="240" w:lineRule="auto"/>
              <w:ind w:left="0" w:firstLine="0"/>
              <w:jc w:val="center"/>
              <w:rPr>
                <w:rFonts w:ascii="Times New Roman" w:hAnsi="Times New Roman"/>
                <w:i/>
                <w:sz w:val="20"/>
                <w:szCs w:val="20"/>
              </w:rPr>
            </w:pPr>
          </w:p>
        </w:tc>
        <w:tc>
          <w:tcPr>
            <w:tcW w:w="3228" w:type="dxa"/>
            <w:vAlign w:val="center"/>
          </w:tcPr>
          <w:p w14:paraId="49375A66" w14:textId="77777777" w:rsidR="00424F47" w:rsidRPr="00EA2B44" w:rsidRDefault="00424F47" w:rsidP="00424F47">
            <w:pPr>
              <w:jc w:val="both"/>
              <w:rPr>
                <w:rFonts w:ascii="Times New Roman" w:hAnsi="Times New Roman"/>
                <w:i/>
                <w:sz w:val="20"/>
                <w:szCs w:val="20"/>
              </w:rPr>
            </w:pPr>
            <w:proofErr w:type="spellStart"/>
            <w:r w:rsidRPr="00EA2B44">
              <w:rPr>
                <w:sz w:val="20"/>
                <w:szCs w:val="20"/>
              </w:rPr>
              <w:t>Please</w:t>
            </w:r>
            <w:proofErr w:type="spellEnd"/>
            <w:r w:rsidRPr="00EA2B44">
              <w:rPr>
                <w:sz w:val="20"/>
                <w:szCs w:val="20"/>
              </w:rPr>
              <w:t xml:space="preserve"> </w:t>
            </w:r>
            <w:proofErr w:type="spellStart"/>
            <w:r w:rsidRPr="00EA2B44">
              <w:rPr>
                <w:sz w:val="20"/>
                <w:szCs w:val="20"/>
              </w:rPr>
              <w:t>fill</w:t>
            </w:r>
            <w:proofErr w:type="spellEnd"/>
            <w:r w:rsidRPr="00EA2B44">
              <w:rPr>
                <w:sz w:val="20"/>
                <w:szCs w:val="20"/>
              </w:rPr>
              <w:t xml:space="preserve"> </w:t>
            </w:r>
            <w:proofErr w:type="spellStart"/>
            <w:r w:rsidRPr="00EA2B44">
              <w:rPr>
                <w:sz w:val="20"/>
                <w:szCs w:val="20"/>
              </w:rPr>
              <w:t>in</w:t>
            </w:r>
            <w:proofErr w:type="spellEnd"/>
            <w:r w:rsidRPr="00EA2B44">
              <w:rPr>
                <w:sz w:val="20"/>
                <w:szCs w:val="20"/>
              </w:rPr>
              <w:t xml:space="preserve"> </w:t>
            </w:r>
            <w:proofErr w:type="spellStart"/>
            <w:r w:rsidRPr="00EA2B44">
              <w:rPr>
                <w:sz w:val="20"/>
                <w:szCs w:val="20"/>
              </w:rPr>
              <w:t>the</w:t>
            </w:r>
            <w:proofErr w:type="spellEnd"/>
            <w:r w:rsidRPr="00EA2B44">
              <w:rPr>
                <w:sz w:val="20"/>
                <w:szCs w:val="20"/>
              </w:rPr>
              <w:t xml:space="preserve"> </w:t>
            </w:r>
            <w:proofErr w:type="spellStart"/>
            <w:r w:rsidRPr="00EA2B44">
              <w:rPr>
                <w:sz w:val="20"/>
                <w:szCs w:val="20"/>
              </w:rPr>
              <w:t>financial</w:t>
            </w:r>
            <w:proofErr w:type="spellEnd"/>
            <w:r w:rsidRPr="00EA2B44">
              <w:rPr>
                <w:sz w:val="20"/>
                <w:szCs w:val="20"/>
              </w:rPr>
              <w:t xml:space="preserve"> </w:t>
            </w:r>
            <w:proofErr w:type="spellStart"/>
            <w:r w:rsidRPr="00EA2B44">
              <w:rPr>
                <w:sz w:val="20"/>
                <w:szCs w:val="20"/>
              </w:rPr>
              <w:t>proposal</w:t>
            </w:r>
            <w:proofErr w:type="spellEnd"/>
            <w:r w:rsidRPr="00EA2B44">
              <w:rPr>
                <w:sz w:val="20"/>
                <w:szCs w:val="20"/>
              </w:rPr>
              <w:t xml:space="preserve"> </w:t>
            </w:r>
            <w:proofErr w:type="spellStart"/>
            <w:r w:rsidRPr="00EA2B44">
              <w:rPr>
                <w:sz w:val="20"/>
                <w:szCs w:val="20"/>
              </w:rPr>
              <w:t>table</w:t>
            </w:r>
            <w:proofErr w:type="spellEnd"/>
            <w:r w:rsidRPr="00EA2B44">
              <w:rPr>
                <w:sz w:val="20"/>
                <w:szCs w:val="20"/>
              </w:rPr>
              <w:t xml:space="preserve"> (</w:t>
            </w:r>
            <w:proofErr w:type="spellStart"/>
            <w:r w:rsidRPr="00EA2B44">
              <w:rPr>
                <w:sz w:val="20"/>
                <w:szCs w:val="20"/>
              </w:rPr>
              <w:t>Table</w:t>
            </w:r>
            <w:proofErr w:type="spellEnd"/>
            <w:r w:rsidRPr="00EA2B44">
              <w:rPr>
                <w:sz w:val="20"/>
                <w:szCs w:val="20"/>
              </w:rPr>
              <w:t xml:space="preserve"> 2)</w:t>
            </w:r>
          </w:p>
        </w:tc>
        <w:tc>
          <w:tcPr>
            <w:tcW w:w="3148" w:type="dxa"/>
          </w:tcPr>
          <w:p w14:paraId="6B93CD2C" w14:textId="77777777" w:rsidR="00424F47" w:rsidRPr="00EA2B44" w:rsidRDefault="00424F47" w:rsidP="00424F47">
            <w:pPr>
              <w:jc w:val="both"/>
              <w:rPr>
                <w:rFonts w:ascii="Times New Roman" w:hAnsi="Times New Roman"/>
                <w:i/>
                <w:sz w:val="20"/>
                <w:szCs w:val="20"/>
              </w:rPr>
            </w:pPr>
            <w:proofErr w:type="spellStart"/>
            <w:r w:rsidRPr="00EA2B44">
              <w:rPr>
                <w:rFonts w:ascii="Times New Roman" w:hAnsi="Times New Roman"/>
                <w:i/>
                <w:sz w:val="20"/>
                <w:szCs w:val="20"/>
              </w:rPr>
              <w:t>We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have</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added</w:t>
            </w:r>
            <w:proofErr w:type="spellEnd"/>
            <w:r w:rsidRPr="00EA2B44">
              <w:rPr>
                <w:rFonts w:ascii="Times New Roman" w:hAnsi="Times New Roman"/>
                <w:i/>
                <w:sz w:val="20"/>
                <w:szCs w:val="20"/>
              </w:rPr>
              <w:t xml:space="preserve"> a </w:t>
            </w:r>
            <w:proofErr w:type="spellStart"/>
            <w:r w:rsidRPr="00EA2B44">
              <w:rPr>
                <w:rFonts w:ascii="Times New Roman" w:hAnsi="Times New Roman"/>
                <w:i/>
                <w:sz w:val="20"/>
                <w:szCs w:val="20"/>
              </w:rPr>
              <w:t>preliminary</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budget</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in</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Table</w:t>
            </w:r>
            <w:proofErr w:type="spellEnd"/>
            <w:r w:rsidRPr="00EA2B44">
              <w:rPr>
                <w:rFonts w:ascii="Times New Roman" w:hAnsi="Times New Roman"/>
                <w:i/>
                <w:sz w:val="20"/>
                <w:szCs w:val="20"/>
              </w:rPr>
              <w:t xml:space="preserve"> 2 (</w:t>
            </w:r>
            <w:proofErr w:type="spellStart"/>
            <w:r w:rsidRPr="00EA2B44">
              <w:rPr>
                <w:rFonts w:ascii="Times New Roman" w:hAnsi="Times New Roman"/>
                <w:i/>
                <w:sz w:val="20"/>
                <w:szCs w:val="20"/>
              </w:rPr>
              <w:t>see</w:t>
            </w:r>
            <w:proofErr w:type="spellEnd"/>
            <w:r w:rsidRPr="00EA2B44">
              <w:rPr>
                <w:rFonts w:ascii="Times New Roman" w:hAnsi="Times New Roman"/>
                <w:i/>
                <w:sz w:val="20"/>
                <w:szCs w:val="20"/>
              </w:rPr>
              <w:t xml:space="preserve"> also </w:t>
            </w:r>
            <w:proofErr w:type="spellStart"/>
            <w:r w:rsidRPr="00EA2B44">
              <w:rPr>
                <w:rFonts w:ascii="Times New Roman" w:hAnsi="Times New Roman"/>
                <w:i/>
                <w:sz w:val="20"/>
                <w:szCs w:val="20"/>
              </w:rPr>
              <w:t>comments</w:t>
            </w:r>
            <w:proofErr w:type="spellEnd"/>
            <w:r w:rsidRPr="00EA2B44">
              <w:rPr>
                <w:rFonts w:ascii="Times New Roman" w:hAnsi="Times New Roman"/>
                <w:i/>
                <w:sz w:val="20"/>
                <w:szCs w:val="20"/>
              </w:rPr>
              <w:t xml:space="preserve"> </w:t>
            </w:r>
            <w:proofErr w:type="spellStart"/>
            <w:r w:rsidRPr="00EA2B44">
              <w:rPr>
                <w:rFonts w:ascii="Times New Roman" w:hAnsi="Times New Roman"/>
                <w:i/>
                <w:sz w:val="20"/>
                <w:szCs w:val="20"/>
              </w:rPr>
              <w:t>in</w:t>
            </w:r>
            <w:proofErr w:type="spellEnd"/>
            <w:r w:rsidRPr="00EA2B44">
              <w:rPr>
                <w:rFonts w:ascii="Times New Roman" w:hAnsi="Times New Roman"/>
                <w:i/>
                <w:sz w:val="20"/>
                <w:szCs w:val="20"/>
              </w:rPr>
              <w:t xml:space="preserve"> (3) </w:t>
            </w:r>
            <w:proofErr w:type="spellStart"/>
            <w:r w:rsidRPr="00EA2B44">
              <w:rPr>
                <w:rFonts w:ascii="Times New Roman" w:hAnsi="Times New Roman"/>
                <w:i/>
                <w:sz w:val="20"/>
                <w:szCs w:val="20"/>
              </w:rPr>
              <w:t>above</w:t>
            </w:r>
            <w:proofErr w:type="spellEnd"/>
            <w:r w:rsidRPr="00EA2B44">
              <w:rPr>
                <w:rFonts w:ascii="Times New Roman" w:hAnsi="Times New Roman"/>
                <w:i/>
                <w:sz w:val="20"/>
                <w:szCs w:val="20"/>
              </w:rPr>
              <w:t>.</w:t>
            </w:r>
          </w:p>
        </w:tc>
        <w:tc>
          <w:tcPr>
            <w:tcW w:w="3465" w:type="dxa"/>
          </w:tcPr>
          <w:p w14:paraId="70596DF6" w14:textId="6956443B" w:rsidR="00424F47" w:rsidRPr="00EA2B44" w:rsidRDefault="00424F47" w:rsidP="00424F47">
            <w:pPr>
              <w:jc w:val="both"/>
              <w:rPr>
                <w:rFonts w:ascii="Times New Roman" w:hAnsi="Times New Roman"/>
                <w:i/>
                <w:sz w:val="20"/>
                <w:szCs w:val="20"/>
              </w:rPr>
            </w:pPr>
            <w:r w:rsidRPr="00EA2B44">
              <w:rPr>
                <w:rFonts w:ascii="Times New Roman" w:hAnsi="Times New Roman"/>
                <w:b/>
                <w:bCs/>
                <w:i/>
                <w:sz w:val="20"/>
                <w:szCs w:val="20"/>
              </w:rPr>
              <w:t>Preliminarus biudžetas pateiktas 2 lentelėje</w:t>
            </w:r>
            <w:r w:rsidRPr="00EA2B44">
              <w:rPr>
                <w:rFonts w:ascii="Times New Roman" w:hAnsi="Times New Roman"/>
                <w:i/>
                <w:sz w:val="20"/>
                <w:szCs w:val="20"/>
              </w:rPr>
              <w:t xml:space="preserve"> (žr. taip pat pastabas 3 punkte aukščiau).</w:t>
            </w:r>
          </w:p>
        </w:tc>
        <w:tc>
          <w:tcPr>
            <w:tcW w:w="3650" w:type="dxa"/>
          </w:tcPr>
          <w:p w14:paraId="288BA2E6" w14:textId="77777777" w:rsidR="00424F47" w:rsidRPr="000E64D6" w:rsidRDefault="00424F47" w:rsidP="00424F47">
            <w:pPr>
              <w:jc w:val="both"/>
              <w:rPr>
                <w:rFonts w:ascii="Times New Roman" w:hAnsi="Times New Roman"/>
                <w:b/>
                <w:bCs/>
                <w:i/>
                <w:color w:val="EE0000"/>
                <w:sz w:val="20"/>
                <w:szCs w:val="20"/>
              </w:rPr>
            </w:pPr>
          </w:p>
        </w:tc>
      </w:tr>
    </w:tbl>
    <w:p w14:paraId="2FF82F63" w14:textId="77777777" w:rsidR="00C11443" w:rsidRDefault="00C11443"/>
    <w:p w14:paraId="0039F555" w14:textId="77777777" w:rsidR="00424F47" w:rsidRDefault="00424F47" w:rsidP="00424F47">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roofErr w:type="spellStart"/>
      <w:r>
        <w:t>Table</w:t>
      </w:r>
      <w:proofErr w:type="spellEnd"/>
      <w:r>
        <w:t xml:space="preserve"> 2. Financial </w:t>
      </w:r>
      <w:proofErr w:type="spellStart"/>
      <w:r>
        <w:t>Proposal</w:t>
      </w:r>
      <w:proofErr w:type="spellEnd"/>
      <w:r>
        <w:t xml:space="preserve"> </w:t>
      </w:r>
      <w:proofErr w:type="spellStart"/>
      <w:r>
        <w:t>Table</w:t>
      </w:r>
      <w:proofErr w:type="spellEnd"/>
    </w:p>
    <w:p w14:paraId="4A85697D" w14:textId="77777777" w:rsidR="00424F47" w:rsidRDefault="00424F47" w:rsidP="00424F47">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424F47" w:rsidRPr="003E1CA5" w14:paraId="623408AC" w14:textId="77777777" w:rsidTr="005B1108">
        <w:trPr>
          <w:trHeight w:val="16"/>
        </w:trPr>
        <w:tc>
          <w:tcPr>
            <w:tcW w:w="0" w:type="auto"/>
            <w:shd w:val="clear" w:color="auto" w:fill="F2F2F2" w:themeFill="background1" w:themeFillShade="F2"/>
          </w:tcPr>
          <w:p w14:paraId="7B2CBACE" w14:textId="77777777" w:rsidR="00424F47" w:rsidRPr="003E1CA5" w:rsidRDefault="00424F47" w:rsidP="005B1108">
            <w:pPr>
              <w:jc w:val="center"/>
              <w:rPr>
                <w:rFonts w:ascii="Times New Roman" w:hAnsi="Times New Roman"/>
                <w:b/>
                <w:i/>
                <w:sz w:val="24"/>
                <w:szCs w:val="24"/>
              </w:rPr>
            </w:pPr>
            <w:proofErr w:type="spellStart"/>
            <w:r>
              <w:t>No</w:t>
            </w:r>
            <w:proofErr w:type="spellEnd"/>
            <w:r>
              <w:t>.</w:t>
            </w:r>
          </w:p>
        </w:tc>
        <w:tc>
          <w:tcPr>
            <w:tcW w:w="3870" w:type="dxa"/>
            <w:shd w:val="clear" w:color="auto" w:fill="F2F2F2" w:themeFill="background1" w:themeFillShade="F2"/>
            <w:vAlign w:val="center"/>
          </w:tcPr>
          <w:p w14:paraId="7E0775D5" w14:textId="77777777" w:rsidR="00424F47" w:rsidRPr="003E1CA5" w:rsidRDefault="00424F47" w:rsidP="005B1108">
            <w:pPr>
              <w:jc w:val="center"/>
              <w:rPr>
                <w:rFonts w:ascii="Times New Roman" w:hAnsi="Times New Roman"/>
                <w:b/>
                <w:i/>
                <w:sz w:val="24"/>
                <w:szCs w:val="24"/>
              </w:rPr>
            </w:pPr>
            <w:proofErr w:type="spellStart"/>
            <w:r>
              <w:t>Question</w:t>
            </w:r>
            <w:proofErr w:type="spellEnd"/>
          </w:p>
        </w:tc>
        <w:tc>
          <w:tcPr>
            <w:tcW w:w="5236" w:type="dxa"/>
            <w:shd w:val="clear" w:color="auto" w:fill="F2F2F2" w:themeFill="background1" w:themeFillShade="F2"/>
            <w:vAlign w:val="center"/>
          </w:tcPr>
          <w:p w14:paraId="7F405619" w14:textId="77777777" w:rsidR="00424F47" w:rsidRPr="003E1CA5" w:rsidRDefault="00424F47" w:rsidP="005B1108">
            <w:pPr>
              <w:jc w:val="center"/>
              <w:rPr>
                <w:rFonts w:ascii="Times New Roman" w:hAnsi="Times New Roman"/>
                <w:b/>
                <w:i/>
                <w:sz w:val="24"/>
                <w:szCs w:val="24"/>
              </w:rPr>
            </w:pPr>
            <w:proofErr w:type="spellStart"/>
            <w:r>
              <w:t>Supplier’s</w:t>
            </w:r>
            <w:proofErr w:type="spellEnd"/>
            <w:r>
              <w:t xml:space="preserve"> </w:t>
            </w:r>
            <w:proofErr w:type="spellStart"/>
            <w:r>
              <w:t>answer</w:t>
            </w:r>
            <w:proofErr w:type="spellEnd"/>
          </w:p>
        </w:tc>
      </w:tr>
      <w:tr w:rsidR="00424F47" w:rsidRPr="003E1CA5" w14:paraId="2B2EDAEC" w14:textId="77777777" w:rsidTr="005B1108">
        <w:trPr>
          <w:trHeight w:val="16"/>
        </w:trPr>
        <w:tc>
          <w:tcPr>
            <w:tcW w:w="0" w:type="auto"/>
            <w:vAlign w:val="center"/>
          </w:tcPr>
          <w:p w14:paraId="013D979D" w14:textId="77777777" w:rsidR="00424F47" w:rsidRPr="00AD0CC0" w:rsidRDefault="00424F47" w:rsidP="005B1108">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32EE0F71" w14:textId="77777777" w:rsidR="00424F47" w:rsidRPr="003E1CA5" w:rsidRDefault="00424F47" w:rsidP="005B1108">
            <w:pPr>
              <w:jc w:val="both"/>
              <w:rPr>
                <w:rFonts w:ascii="Times New Roman" w:hAnsi="Times New Roman"/>
                <w:i/>
                <w:sz w:val="24"/>
                <w:szCs w:val="24"/>
              </w:rPr>
            </w:pPr>
            <w:proofErr w:type="spellStart"/>
            <w:r>
              <w:t>Proposed</w:t>
            </w:r>
            <w:proofErr w:type="spellEnd"/>
            <w:r>
              <w:t xml:space="preserve"> </w:t>
            </w:r>
            <w:proofErr w:type="spellStart"/>
            <w:r>
              <w:t>preliminary</w:t>
            </w:r>
            <w:proofErr w:type="spellEnd"/>
            <w:r>
              <w:t xml:space="preserve"> </w:t>
            </w:r>
            <w:proofErr w:type="spellStart"/>
            <w:r>
              <w:t>price</w:t>
            </w:r>
            <w:proofErr w:type="spellEnd"/>
            <w:r>
              <w:t xml:space="preserve"> (</w:t>
            </w:r>
            <w:proofErr w:type="spellStart"/>
            <w:r>
              <w:t>if</w:t>
            </w:r>
            <w:proofErr w:type="spellEnd"/>
            <w:r>
              <w:t xml:space="preserve">, </w:t>
            </w:r>
            <w:proofErr w:type="spellStart"/>
            <w:r>
              <w:t>according</w:t>
            </w:r>
            <w:proofErr w:type="spellEnd"/>
            <w:r>
              <w:t xml:space="preserve"> to </w:t>
            </w:r>
            <w:proofErr w:type="spellStart"/>
            <w:r>
              <w:t>the</w:t>
            </w:r>
            <w:proofErr w:type="spellEnd"/>
            <w:r>
              <w:t xml:space="preserve"> </w:t>
            </w:r>
            <w:proofErr w:type="spellStart"/>
            <w:r>
              <w:t>technical</w:t>
            </w:r>
            <w:proofErr w:type="spellEnd"/>
            <w:r>
              <w:t xml:space="preserve"> </w:t>
            </w:r>
            <w:proofErr w:type="spellStart"/>
            <w:r>
              <w:t>specification</w:t>
            </w:r>
            <w:proofErr w:type="spellEnd"/>
            <w:r>
              <w:t xml:space="preserve">, </w:t>
            </w:r>
            <w:proofErr w:type="spellStart"/>
            <w:r>
              <w:t>the</w:t>
            </w:r>
            <w:proofErr w:type="spellEnd"/>
            <w:r>
              <w:t xml:space="preserve"> </w:t>
            </w:r>
            <w:proofErr w:type="spellStart"/>
            <w:r>
              <w:t>procurement</w:t>
            </w:r>
            <w:proofErr w:type="spellEnd"/>
            <w:r>
              <w:t xml:space="preserve"> </w:t>
            </w:r>
            <w:proofErr w:type="spellStart"/>
            <w:r>
              <w:t>is</w:t>
            </w:r>
            <w:proofErr w:type="spellEnd"/>
            <w:r>
              <w:t xml:space="preserve"> </w:t>
            </w:r>
            <w:proofErr w:type="spellStart"/>
            <w:r>
              <w:t>divided</w:t>
            </w:r>
            <w:proofErr w:type="spellEnd"/>
            <w:r>
              <w:t xml:space="preserve"> </w:t>
            </w:r>
            <w:proofErr w:type="spellStart"/>
            <w:r>
              <w:t>into</w:t>
            </w:r>
            <w:proofErr w:type="spellEnd"/>
            <w:r>
              <w:t xml:space="preserve"> </w:t>
            </w:r>
            <w:proofErr w:type="spellStart"/>
            <w:r>
              <w:t>parts</w:t>
            </w:r>
            <w:proofErr w:type="spellEnd"/>
            <w:r>
              <w:t xml:space="preserve">, </w:t>
            </w:r>
            <w:proofErr w:type="spellStart"/>
            <w:r>
              <w:t>provide</w:t>
            </w:r>
            <w:proofErr w:type="spellEnd"/>
            <w:r>
              <w:t xml:space="preserve"> a </w:t>
            </w:r>
            <w:proofErr w:type="spellStart"/>
            <w:r>
              <w:t>preliminary</w:t>
            </w:r>
            <w:proofErr w:type="spellEnd"/>
            <w:r>
              <w:t xml:space="preserve"> </w:t>
            </w:r>
            <w:proofErr w:type="spellStart"/>
            <w:r>
              <w:t>price</w:t>
            </w:r>
            <w:proofErr w:type="spellEnd"/>
            <w:r>
              <w:t xml:space="preserve"> </w:t>
            </w:r>
            <w:proofErr w:type="spellStart"/>
            <w:r>
              <w:t>for</w:t>
            </w:r>
            <w:proofErr w:type="spellEnd"/>
            <w:r>
              <w:t xml:space="preserve"> </w:t>
            </w:r>
            <w:proofErr w:type="spellStart"/>
            <w:r>
              <w:t>each</w:t>
            </w:r>
            <w:proofErr w:type="spellEnd"/>
            <w:r>
              <w:t xml:space="preserve"> </w:t>
            </w:r>
            <w:proofErr w:type="spellStart"/>
            <w:r>
              <w:t>part</w:t>
            </w:r>
            <w:proofErr w:type="spellEnd"/>
            <w:r>
              <w:t xml:space="preserve"> </w:t>
            </w:r>
            <w:proofErr w:type="spellStart"/>
            <w:r>
              <w:t>separately</w:t>
            </w:r>
            <w:proofErr w:type="spellEnd"/>
            <w:r>
              <w:t>)</w:t>
            </w:r>
          </w:p>
        </w:tc>
        <w:tc>
          <w:tcPr>
            <w:tcW w:w="5236" w:type="dxa"/>
          </w:tcPr>
          <w:p w14:paraId="71D33EBC" w14:textId="77777777" w:rsidR="00424F47" w:rsidRDefault="00424F47" w:rsidP="005B1108">
            <w:pPr>
              <w:jc w:val="both"/>
              <w:rPr>
                <w:rFonts w:ascii="Times New Roman" w:hAnsi="Times New Roman"/>
                <w:i/>
                <w:sz w:val="24"/>
                <w:szCs w:val="24"/>
              </w:rPr>
            </w:pPr>
          </w:p>
          <w:p w14:paraId="501AB216" w14:textId="7C9516DC" w:rsidR="00424F47" w:rsidRPr="003E1CA5" w:rsidRDefault="00424F47" w:rsidP="005B1108">
            <w:pPr>
              <w:jc w:val="both"/>
              <w:rPr>
                <w:rFonts w:ascii="Times New Roman" w:hAnsi="Times New Roman"/>
                <w:i/>
                <w:sz w:val="24"/>
                <w:szCs w:val="24"/>
              </w:rPr>
            </w:pPr>
            <w:bookmarkStart w:id="0" w:name="_GoBack"/>
            <w:bookmarkEnd w:id="0"/>
          </w:p>
        </w:tc>
      </w:tr>
    </w:tbl>
    <w:p w14:paraId="262D98E2" w14:textId="77777777" w:rsidR="00424F47" w:rsidRDefault="00424F47"/>
    <w:sectPr w:rsidR="00424F47" w:rsidSect="0067165D">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56C1"/>
    <w:multiLevelType w:val="multilevel"/>
    <w:tmpl w:val="09D814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0550CB"/>
    <w:multiLevelType w:val="hybridMultilevel"/>
    <w:tmpl w:val="7990E6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3" w15:restartNumberingAfterBreak="0">
    <w:nsid w:val="597B1EDE"/>
    <w:multiLevelType w:val="multilevel"/>
    <w:tmpl w:val="A04E3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E24B19"/>
    <w:multiLevelType w:val="multilevel"/>
    <w:tmpl w:val="09D814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5D"/>
    <w:rsid w:val="00012757"/>
    <w:rsid w:val="00047985"/>
    <w:rsid w:val="0005332E"/>
    <w:rsid w:val="000A36EC"/>
    <w:rsid w:val="000C39CB"/>
    <w:rsid w:val="000D4BC2"/>
    <w:rsid w:val="000D4FD9"/>
    <w:rsid w:val="000E1CD4"/>
    <w:rsid w:val="000E64D6"/>
    <w:rsid w:val="000F5E05"/>
    <w:rsid w:val="000F609F"/>
    <w:rsid w:val="001024F0"/>
    <w:rsid w:val="00105F96"/>
    <w:rsid w:val="00110B89"/>
    <w:rsid w:val="00126F2B"/>
    <w:rsid w:val="001516C2"/>
    <w:rsid w:val="00162E5B"/>
    <w:rsid w:val="00170A74"/>
    <w:rsid w:val="00192154"/>
    <w:rsid w:val="001B0959"/>
    <w:rsid w:val="001C006E"/>
    <w:rsid w:val="001C5307"/>
    <w:rsid w:val="001E2028"/>
    <w:rsid w:val="001E457E"/>
    <w:rsid w:val="001F76E4"/>
    <w:rsid w:val="0020385F"/>
    <w:rsid w:val="00221AF7"/>
    <w:rsid w:val="00227805"/>
    <w:rsid w:val="00234274"/>
    <w:rsid w:val="0024539E"/>
    <w:rsid w:val="00253A93"/>
    <w:rsid w:val="0025762F"/>
    <w:rsid w:val="00265FAA"/>
    <w:rsid w:val="002724AB"/>
    <w:rsid w:val="002922E4"/>
    <w:rsid w:val="00293813"/>
    <w:rsid w:val="002B2AFE"/>
    <w:rsid w:val="002D2E85"/>
    <w:rsid w:val="002D7C3C"/>
    <w:rsid w:val="00306C59"/>
    <w:rsid w:val="00307BE3"/>
    <w:rsid w:val="003116B2"/>
    <w:rsid w:val="00320576"/>
    <w:rsid w:val="0032689B"/>
    <w:rsid w:val="00331247"/>
    <w:rsid w:val="0034224F"/>
    <w:rsid w:val="0036556A"/>
    <w:rsid w:val="003A7610"/>
    <w:rsid w:val="003B257B"/>
    <w:rsid w:val="003D0A22"/>
    <w:rsid w:val="003D0F3B"/>
    <w:rsid w:val="003D672D"/>
    <w:rsid w:val="003E6DFD"/>
    <w:rsid w:val="003E6FE8"/>
    <w:rsid w:val="003E7713"/>
    <w:rsid w:val="003E7F4A"/>
    <w:rsid w:val="003F532C"/>
    <w:rsid w:val="003F7356"/>
    <w:rsid w:val="003F7E35"/>
    <w:rsid w:val="00424F47"/>
    <w:rsid w:val="00431381"/>
    <w:rsid w:val="00435253"/>
    <w:rsid w:val="00457BAC"/>
    <w:rsid w:val="00463FC2"/>
    <w:rsid w:val="00473785"/>
    <w:rsid w:val="00482F0B"/>
    <w:rsid w:val="004D14A6"/>
    <w:rsid w:val="004D57AB"/>
    <w:rsid w:val="004F3945"/>
    <w:rsid w:val="0050532C"/>
    <w:rsid w:val="00521F8D"/>
    <w:rsid w:val="00523D89"/>
    <w:rsid w:val="00531686"/>
    <w:rsid w:val="00550CEA"/>
    <w:rsid w:val="00552F6F"/>
    <w:rsid w:val="0058242D"/>
    <w:rsid w:val="00592142"/>
    <w:rsid w:val="005A6853"/>
    <w:rsid w:val="005B1108"/>
    <w:rsid w:val="005B2029"/>
    <w:rsid w:val="005C2B7C"/>
    <w:rsid w:val="005D5B5A"/>
    <w:rsid w:val="005D5E26"/>
    <w:rsid w:val="005E5159"/>
    <w:rsid w:val="005F264C"/>
    <w:rsid w:val="00620CD5"/>
    <w:rsid w:val="00626113"/>
    <w:rsid w:val="0063196E"/>
    <w:rsid w:val="0067165D"/>
    <w:rsid w:val="00675720"/>
    <w:rsid w:val="00677DBE"/>
    <w:rsid w:val="0069359B"/>
    <w:rsid w:val="006A74B4"/>
    <w:rsid w:val="006B6BCD"/>
    <w:rsid w:val="006C03BF"/>
    <w:rsid w:val="006C2FFF"/>
    <w:rsid w:val="007002B8"/>
    <w:rsid w:val="007422DD"/>
    <w:rsid w:val="0075471D"/>
    <w:rsid w:val="0075568C"/>
    <w:rsid w:val="007639D1"/>
    <w:rsid w:val="00764A28"/>
    <w:rsid w:val="007672AB"/>
    <w:rsid w:val="0077567F"/>
    <w:rsid w:val="007779E5"/>
    <w:rsid w:val="0078273E"/>
    <w:rsid w:val="007954A4"/>
    <w:rsid w:val="007B06C8"/>
    <w:rsid w:val="007C2CC5"/>
    <w:rsid w:val="007C7A1C"/>
    <w:rsid w:val="007F69DA"/>
    <w:rsid w:val="00822FDC"/>
    <w:rsid w:val="0084151C"/>
    <w:rsid w:val="00842B83"/>
    <w:rsid w:val="0084353B"/>
    <w:rsid w:val="0089227D"/>
    <w:rsid w:val="008B053D"/>
    <w:rsid w:val="008C274E"/>
    <w:rsid w:val="00923CBD"/>
    <w:rsid w:val="00973E05"/>
    <w:rsid w:val="009B792E"/>
    <w:rsid w:val="009C17BB"/>
    <w:rsid w:val="009C72D6"/>
    <w:rsid w:val="009D2050"/>
    <w:rsid w:val="009D28E0"/>
    <w:rsid w:val="009D61FD"/>
    <w:rsid w:val="009F274B"/>
    <w:rsid w:val="009F291E"/>
    <w:rsid w:val="009F5587"/>
    <w:rsid w:val="00A10455"/>
    <w:rsid w:val="00A11A9F"/>
    <w:rsid w:val="00A14179"/>
    <w:rsid w:val="00A424B7"/>
    <w:rsid w:val="00A42880"/>
    <w:rsid w:val="00A55839"/>
    <w:rsid w:val="00AB023E"/>
    <w:rsid w:val="00AD3D79"/>
    <w:rsid w:val="00AD50F4"/>
    <w:rsid w:val="00AE03DD"/>
    <w:rsid w:val="00B22FF9"/>
    <w:rsid w:val="00B63D59"/>
    <w:rsid w:val="00B643E0"/>
    <w:rsid w:val="00B70D55"/>
    <w:rsid w:val="00BE35CA"/>
    <w:rsid w:val="00BF6F84"/>
    <w:rsid w:val="00C11443"/>
    <w:rsid w:val="00C16014"/>
    <w:rsid w:val="00C406BE"/>
    <w:rsid w:val="00C44C89"/>
    <w:rsid w:val="00C518C1"/>
    <w:rsid w:val="00C765C9"/>
    <w:rsid w:val="00C95A29"/>
    <w:rsid w:val="00C95ACA"/>
    <w:rsid w:val="00CC48AE"/>
    <w:rsid w:val="00CC63B6"/>
    <w:rsid w:val="00CDD2EE"/>
    <w:rsid w:val="00D03428"/>
    <w:rsid w:val="00D1689E"/>
    <w:rsid w:val="00D260A7"/>
    <w:rsid w:val="00D26FBB"/>
    <w:rsid w:val="00D31E32"/>
    <w:rsid w:val="00D3325B"/>
    <w:rsid w:val="00D36179"/>
    <w:rsid w:val="00D45CE9"/>
    <w:rsid w:val="00D56A5D"/>
    <w:rsid w:val="00D57BA9"/>
    <w:rsid w:val="00D74C43"/>
    <w:rsid w:val="00D74FFA"/>
    <w:rsid w:val="00D75ABD"/>
    <w:rsid w:val="00D76D83"/>
    <w:rsid w:val="00D8658F"/>
    <w:rsid w:val="00D93FAB"/>
    <w:rsid w:val="00DD787E"/>
    <w:rsid w:val="00DE3CDF"/>
    <w:rsid w:val="00DF3BBF"/>
    <w:rsid w:val="00E057FB"/>
    <w:rsid w:val="00E52DF9"/>
    <w:rsid w:val="00E70B02"/>
    <w:rsid w:val="00E72149"/>
    <w:rsid w:val="00E84A77"/>
    <w:rsid w:val="00EA2B44"/>
    <w:rsid w:val="00EA2C96"/>
    <w:rsid w:val="00EB6BEA"/>
    <w:rsid w:val="00EE10B7"/>
    <w:rsid w:val="00EE6EEE"/>
    <w:rsid w:val="00F046EA"/>
    <w:rsid w:val="00F221C4"/>
    <w:rsid w:val="00F34435"/>
    <w:rsid w:val="00F365A3"/>
    <w:rsid w:val="00F63067"/>
    <w:rsid w:val="00FB6374"/>
    <w:rsid w:val="00FC2565"/>
    <w:rsid w:val="00FD36BA"/>
    <w:rsid w:val="00FE19F4"/>
    <w:rsid w:val="00FF7F46"/>
    <w:rsid w:val="04842694"/>
    <w:rsid w:val="04ADFF7E"/>
    <w:rsid w:val="04EB8A02"/>
    <w:rsid w:val="050C04B8"/>
    <w:rsid w:val="080FD554"/>
    <w:rsid w:val="089C5440"/>
    <w:rsid w:val="095F9A51"/>
    <w:rsid w:val="0965A7A9"/>
    <w:rsid w:val="13776823"/>
    <w:rsid w:val="1963562F"/>
    <w:rsid w:val="1B81E792"/>
    <w:rsid w:val="21B8F0B0"/>
    <w:rsid w:val="27A02073"/>
    <w:rsid w:val="2EE6E03F"/>
    <w:rsid w:val="2FF8972D"/>
    <w:rsid w:val="303CB2D2"/>
    <w:rsid w:val="330C10EA"/>
    <w:rsid w:val="38768C9E"/>
    <w:rsid w:val="408496D3"/>
    <w:rsid w:val="40D3B4CE"/>
    <w:rsid w:val="448AE7FB"/>
    <w:rsid w:val="4527A36E"/>
    <w:rsid w:val="4CBDA44B"/>
    <w:rsid w:val="4EC9CAFA"/>
    <w:rsid w:val="4F5A447D"/>
    <w:rsid w:val="50F2EB65"/>
    <w:rsid w:val="5247161D"/>
    <w:rsid w:val="52838F7F"/>
    <w:rsid w:val="52F4FA7C"/>
    <w:rsid w:val="53A0FD1C"/>
    <w:rsid w:val="64D4A8BF"/>
    <w:rsid w:val="65AAB688"/>
    <w:rsid w:val="65DCA931"/>
    <w:rsid w:val="6728D6FA"/>
    <w:rsid w:val="68D196E3"/>
    <w:rsid w:val="698BF01D"/>
    <w:rsid w:val="6B19A2B9"/>
    <w:rsid w:val="7299D448"/>
    <w:rsid w:val="740BDE31"/>
    <w:rsid w:val="7487F62A"/>
    <w:rsid w:val="757FBCD3"/>
    <w:rsid w:val="76520BC9"/>
    <w:rsid w:val="7756E6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23187"/>
  <w15:chartTrackingRefBased/>
  <w15:docId w15:val="{20162610-90DC-4ED5-B9B3-0F9AE2F5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7165D"/>
    <w:pPr>
      <w:spacing w:after="200" w:line="276"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671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1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165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165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165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7165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165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165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165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165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165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165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165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165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165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165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165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165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1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165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165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165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165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165D"/>
    <w:rPr>
      <w:i/>
      <w:iCs/>
      <w:color w:val="404040" w:themeColor="text1" w:themeTint="BF"/>
    </w:rPr>
  </w:style>
  <w:style w:type="paragraph" w:styleId="Sraopastraipa">
    <w:name w:val="List Paragraph"/>
    <w:basedOn w:val="prastasis"/>
    <w:link w:val="SraopastraipaDiagrama"/>
    <w:uiPriority w:val="34"/>
    <w:qFormat/>
    <w:rsid w:val="0067165D"/>
    <w:pPr>
      <w:ind w:left="720"/>
      <w:contextualSpacing/>
    </w:pPr>
  </w:style>
  <w:style w:type="character" w:styleId="Rykuspabraukimas">
    <w:name w:val="Intense Emphasis"/>
    <w:basedOn w:val="Numatytasispastraiposriftas"/>
    <w:uiPriority w:val="21"/>
    <w:qFormat/>
    <w:rsid w:val="0067165D"/>
    <w:rPr>
      <w:i/>
      <w:iCs/>
      <w:color w:val="0F4761" w:themeColor="accent1" w:themeShade="BF"/>
    </w:rPr>
  </w:style>
  <w:style w:type="paragraph" w:styleId="Iskirtacitata">
    <w:name w:val="Intense Quote"/>
    <w:basedOn w:val="prastasis"/>
    <w:next w:val="prastasis"/>
    <w:link w:val="IskirtacitataDiagrama"/>
    <w:uiPriority w:val="30"/>
    <w:qFormat/>
    <w:rsid w:val="00671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165D"/>
    <w:rPr>
      <w:i/>
      <w:iCs/>
      <w:color w:val="0F4761" w:themeColor="accent1" w:themeShade="BF"/>
    </w:rPr>
  </w:style>
  <w:style w:type="character" w:styleId="Rykinuoroda">
    <w:name w:val="Intense Reference"/>
    <w:basedOn w:val="Numatytasispastraiposriftas"/>
    <w:uiPriority w:val="32"/>
    <w:qFormat/>
    <w:rsid w:val="0067165D"/>
    <w:rPr>
      <w:b/>
      <w:bCs/>
      <w:smallCaps/>
      <w:color w:val="0F4761" w:themeColor="accent1" w:themeShade="BF"/>
      <w:spacing w:val="5"/>
    </w:rPr>
  </w:style>
  <w:style w:type="table" w:customStyle="1" w:styleId="Lentelstinklelis1">
    <w:name w:val="Lentelės tinklelis1"/>
    <w:basedOn w:val="prastojilentel"/>
    <w:next w:val="Lentelstinklelis"/>
    <w:uiPriority w:val="39"/>
    <w:rsid w:val="0067165D"/>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67165D"/>
  </w:style>
  <w:style w:type="table" w:styleId="Lentelstinklelis">
    <w:name w:val="Table Grid"/>
    <w:basedOn w:val="prastojilentel"/>
    <w:uiPriority w:val="39"/>
    <w:rsid w:val="00671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D36BA"/>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6E69F-D1F3-4759-8239-C60EB432E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77582-1618-4A6A-B6D6-0CE26BB03356}">
  <ds:schemaRefs>
    <ds:schemaRef ds:uri="http://purl.org/dc/dcmitype/"/>
    <ds:schemaRef ds:uri="http://purl.org/dc/term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bd2a18c2-06d4-44cd-af38-3237b532008a"/>
    <ds:schemaRef ds:uri="441e4d8e-a8ab-46be-9694-e40af28e9c61"/>
  </ds:schemaRefs>
</ds:datastoreItem>
</file>

<file path=customXml/itemProps3.xml><?xml version="1.0" encoding="utf-8"?>
<ds:datastoreItem xmlns:ds="http://schemas.openxmlformats.org/officeDocument/2006/customXml" ds:itemID="{2645E495-D037-4DC9-8CFB-25386319A127}">
  <ds:schemaRefs>
    <ds:schemaRef ds:uri="http://schemas.microsoft.com/sharepoint/v3/contenttype/forms"/>
  </ds:schemaRefs>
</ds:datastoreItem>
</file>

<file path=customXml/itemProps4.xml><?xml version="1.0" encoding="utf-8"?>
<ds:datastoreItem xmlns:ds="http://schemas.openxmlformats.org/officeDocument/2006/customXml" ds:itemID="{CC88AA77-18A8-471E-8192-C7CC2494F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6756</Words>
  <Characters>3852</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Vaino Brazdeikis</dc:creator>
  <cp:keywords/>
  <dc:description/>
  <cp:lastModifiedBy>Dainius Linauskas</cp:lastModifiedBy>
  <cp:revision>3</cp:revision>
  <dcterms:created xsi:type="dcterms:W3CDTF">2025-10-23T05:55:00Z</dcterms:created>
  <dcterms:modified xsi:type="dcterms:W3CDTF">2025-10-23T07:22:00Z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