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A" w:rsidRDefault="00AB5BEA" w:rsidP="002E6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33D" w:rsidRPr="005F66A7" w:rsidRDefault="00DF7F8A" w:rsidP="00DB033D">
      <w:pPr>
        <w:pStyle w:val="Tablecaption20"/>
        <w:spacing w:line="240" w:lineRule="exact"/>
        <w:ind w:left="9072"/>
        <w:rPr>
          <w:b w:val="0"/>
        </w:rPr>
      </w:pPr>
      <w:r>
        <w:t xml:space="preserve">                                                                                                                                                    </w:t>
      </w:r>
      <w:r w:rsidR="00DB033D" w:rsidRPr="005F66A7">
        <w:rPr>
          <w:b w:val="0"/>
        </w:rPr>
        <w:t>Paslaugų viešojo pirkimo-pardavimo sutarties</w:t>
      </w:r>
    </w:p>
    <w:p w:rsidR="00DB033D" w:rsidRPr="005F66A7" w:rsidRDefault="00B22F09" w:rsidP="00DB033D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2025</w:t>
      </w:r>
      <w:r w:rsidR="00DB033D" w:rsidRPr="005F66A7">
        <w:rPr>
          <w:b w:val="0"/>
        </w:rPr>
        <w:t xml:space="preserve"> m.                         d. Nr. </w:t>
      </w:r>
      <w:r w:rsidR="00DB033D" w:rsidRPr="005F66A7">
        <w:rPr>
          <w:b w:val="0"/>
        </w:rPr>
        <w:tab/>
      </w:r>
    </w:p>
    <w:p w:rsidR="00F75F08" w:rsidRDefault="00DB033D" w:rsidP="00B63FEA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</w:t>
      </w:r>
      <w:r w:rsidRPr="005F66A7">
        <w:rPr>
          <w:b w:val="0"/>
        </w:rPr>
        <w:t xml:space="preserve"> Priedas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3C7635" w:rsidRDefault="00AB5BEA" w:rsidP="00AB5BEA">
      <w:pPr>
        <w:jc w:val="center"/>
        <w:rPr>
          <w:b/>
        </w:rPr>
      </w:pPr>
      <w:r w:rsidRPr="00AB5BEA">
        <w:rPr>
          <w:b/>
        </w:rPr>
        <w:t>PASLAUGŲ KIEKIAI IR ĮKAINIAI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AB5BEA" w:rsidRPr="00AB5BEA" w:rsidRDefault="00AB5BEA" w:rsidP="00AB5BEA">
      <w:pPr>
        <w:jc w:val="center"/>
        <w:rPr>
          <w:b/>
          <w:sz w:val="16"/>
          <w:szCs w:val="16"/>
        </w:rPr>
      </w:pPr>
    </w:p>
    <w:tbl>
      <w:tblPr>
        <w:tblW w:w="541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194"/>
        <w:gridCol w:w="1235"/>
        <w:gridCol w:w="1736"/>
        <w:gridCol w:w="1754"/>
        <w:gridCol w:w="1754"/>
        <w:gridCol w:w="1754"/>
        <w:gridCol w:w="1754"/>
      </w:tblGrid>
      <w:tr w:rsidR="00B22F09" w:rsidRPr="000B6148" w:rsidTr="00CC66F2">
        <w:trPr>
          <w:trHeight w:val="1012"/>
        </w:trPr>
        <w:tc>
          <w:tcPr>
            <w:tcW w:w="270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1399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412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>
              <w:rPr>
                <w:b/>
              </w:rPr>
              <w:t>Mato</w:t>
            </w:r>
            <w:r w:rsidRPr="000B6148">
              <w:rPr>
                <w:b/>
              </w:rPr>
              <w:t xml:space="preserve"> vnt.</w:t>
            </w:r>
          </w:p>
        </w:tc>
        <w:tc>
          <w:tcPr>
            <w:tcW w:w="579" w:type="pct"/>
          </w:tcPr>
          <w:p w:rsidR="00B22F09" w:rsidRPr="000B6148" w:rsidRDefault="00B22F09" w:rsidP="002B30C2">
            <w:pPr>
              <w:jc w:val="center"/>
              <w:rPr>
                <w:b/>
              </w:rPr>
            </w:pPr>
            <w:r>
              <w:rPr>
                <w:b/>
              </w:rPr>
              <w:t>Maksimalus paslaugų kiekis, vnt.</w:t>
            </w:r>
          </w:p>
        </w:tc>
        <w:tc>
          <w:tcPr>
            <w:tcW w:w="585" w:type="pct"/>
          </w:tcPr>
          <w:p w:rsidR="00B22F09" w:rsidRDefault="00B22F09" w:rsidP="00102CDE">
            <w:pPr>
              <w:jc w:val="center"/>
              <w:rPr>
                <w:b/>
              </w:rPr>
            </w:pPr>
            <w:r>
              <w:rPr>
                <w:b/>
              </w:rPr>
              <w:t>Minimalus paslaugų kiekis, vnt.</w:t>
            </w:r>
          </w:p>
        </w:tc>
        <w:tc>
          <w:tcPr>
            <w:tcW w:w="585" w:type="pct"/>
            <w:shd w:val="clear" w:color="auto" w:fill="auto"/>
            <w:hideMark/>
          </w:tcPr>
          <w:p w:rsidR="00B22F09" w:rsidRDefault="00B22F09" w:rsidP="00102CD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0B6148">
              <w:rPr>
                <w:b/>
              </w:rPr>
              <w:t xml:space="preserve">ieneto įkainis, </w:t>
            </w:r>
          </w:p>
          <w:p w:rsidR="00B22F09" w:rsidRPr="000B6148" w:rsidRDefault="00B22F09" w:rsidP="00801F86">
            <w:pPr>
              <w:jc w:val="center"/>
              <w:rPr>
                <w:b/>
              </w:rPr>
            </w:pPr>
            <w:r w:rsidRPr="000B6148">
              <w:rPr>
                <w:b/>
              </w:rPr>
              <w:t>Eur be PVM</w:t>
            </w:r>
          </w:p>
        </w:tc>
        <w:tc>
          <w:tcPr>
            <w:tcW w:w="585" w:type="pct"/>
          </w:tcPr>
          <w:p w:rsidR="00B22F09" w:rsidRDefault="00B22F09" w:rsidP="002B30C2">
            <w:pPr>
              <w:jc w:val="center"/>
              <w:rPr>
                <w:b/>
              </w:rPr>
            </w:pPr>
            <w:r>
              <w:rPr>
                <w:b/>
              </w:rPr>
              <w:t>Vieneto įkainis,</w:t>
            </w:r>
          </w:p>
          <w:p w:rsidR="00B22F09" w:rsidRPr="000B6148" w:rsidRDefault="00B22F09" w:rsidP="007F1B89">
            <w:pPr>
              <w:jc w:val="center"/>
              <w:rPr>
                <w:b/>
              </w:rPr>
            </w:pPr>
            <w:r>
              <w:rPr>
                <w:b/>
              </w:rPr>
              <w:t xml:space="preserve"> Eur su PVM</w:t>
            </w:r>
          </w:p>
        </w:tc>
        <w:tc>
          <w:tcPr>
            <w:tcW w:w="585" w:type="pct"/>
          </w:tcPr>
          <w:p w:rsidR="00B22F09" w:rsidRPr="000B6148" w:rsidRDefault="00B22F09" w:rsidP="005E6C13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:rsidR="00B22F09" w:rsidRDefault="00B22F09" w:rsidP="005E6C13">
            <w:pPr>
              <w:jc w:val="center"/>
              <w:rPr>
                <w:b/>
              </w:rPr>
            </w:pPr>
            <w:r w:rsidRPr="000B6148">
              <w:rPr>
                <w:b/>
              </w:rPr>
              <w:t xml:space="preserve">Eur </w:t>
            </w:r>
            <w:r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:rsidR="00B22F09" w:rsidRPr="000B6148" w:rsidRDefault="00B22F09" w:rsidP="005E6C13">
            <w:pPr>
              <w:jc w:val="center"/>
              <w:rPr>
                <w:b/>
              </w:rPr>
            </w:pPr>
            <w:r w:rsidRPr="005E6C13">
              <w:rPr>
                <w:b/>
              </w:rPr>
              <w:t>(4x</w:t>
            </w:r>
            <w:r>
              <w:rPr>
                <w:b/>
              </w:rPr>
              <w:t>6</w:t>
            </w:r>
            <w:r w:rsidRPr="005E6C13">
              <w:rPr>
                <w:b/>
              </w:rPr>
              <w:t>)</w:t>
            </w:r>
          </w:p>
        </w:tc>
      </w:tr>
      <w:tr w:rsidR="00B22F09" w:rsidRPr="000B6148" w:rsidTr="00CC66F2">
        <w:trPr>
          <w:trHeight w:val="357"/>
        </w:trPr>
        <w:tc>
          <w:tcPr>
            <w:tcW w:w="270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1</w:t>
            </w:r>
          </w:p>
        </w:tc>
        <w:tc>
          <w:tcPr>
            <w:tcW w:w="1399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  <w:iCs/>
              </w:rPr>
            </w:pPr>
            <w:r w:rsidRPr="000B6148">
              <w:rPr>
                <w:b/>
                <w:i/>
                <w:iCs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4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B22F09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9" w:type="pct"/>
            <w:shd w:val="clear" w:color="auto" w:fill="auto"/>
          </w:tcPr>
          <w:p w:rsidR="00B22F09" w:rsidRPr="00576423" w:rsidRDefault="00C31AAA" w:rsidP="005718CF">
            <w:r>
              <w:rPr>
                <w:sz w:val="22"/>
                <w:szCs w:val="22"/>
              </w:rPr>
              <w:t>Movos antpečiams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B22F09" w:rsidRPr="00576423" w:rsidRDefault="00B22F09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B22F09" w:rsidRPr="00576423" w:rsidRDefault="00C31AAA" w:rsidP="00E32B32">
            <w:pPr>
              <w:jc w:val="center"/>
            </w:pPr>
            <w:r w:rsidRPr="00B013FF">
              <w:rPr>
                <w:sz w:val="22"/>
                <w:szCs w:val="22"/>
              </w:rPr>
              <w:t>42970</w:t>
            </w:r>
          </w:p>
        </w:tc>
        <w:tc>
          <w:tcPr>
            <w:tcW w:w="585" w:type="pct"/>
          </w:tcPr>
          <w:p w:rsidR="00B22F09" w:rsidRPr="000B6148" w:rsidRDefault="00C31AAA" w:rsidP="00E32B32">
            <w:pPr>
              <w:jc w:val="center"/>
              <w:rPr>
                <w:b/>
              </w:rPr>
            </w:pPr>
            <w:r w:rsidRPr="00B013FF">
              <w:rPr>
                <w:sz w:val="22"/>
                <w:szCs w:val="22"/>
              </w:rPr>
              <w:t>33054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F75F08" w:rsidRDefault="00B22F09" w:rsidP="00E32B32">
            <w:pPr>
              <w:jc w:val="center"/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5706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4389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Antpetukai (KJP Lyra)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260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200</w:t>
            </w:r>
          </w:p>
        </w:tc>
        <w:tc>
          <w:tcPr>
            <w:tcW w:w="585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Antpečiai, išeiginiai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Antpečiai, iškilmingų progų kostiumo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143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110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Antsiuvai, laipsnio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845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650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Ženklas LYRA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260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Poženklis, kepurės ženklo, karininko (KJP)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585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450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Poženklis, kepurės ženklo, nekarininko ir besnapės (KJP)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1040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800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Trikampėliai, iškilmingų progų kostiumo, generolo/admirolo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29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22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Trikampėliai, uniforminio švarko, generolo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5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725973" w:rsidP="00725973">
            <w:r w:rsidRPr="00EF57A8">
              <w:t>Trikampėliai uniforminio švarko kareivio, karininko ir išeiginio kostiumo kariūno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725973" w:rsidP="00725973">
            <w:pPr>
              <w:jc w:val="center"/>
            </w:pPr>
            <w:r w:rsidRPr="00390E1B">
              <w:t>1592</w:t>
            </w:r>
          </w:p>
        </w:tc>
        <w:tc>
          <w:tcPr>
            <w:tcW w:w="585" w:type="pct"/>
          </w:tcPr>
          <w:p w:rsidR="00725973" w:rsidRPr="004B2890" w:rsidRDefault="00725973" w:rsidP="00725973">
            <w:pPr>
              <w:jc w:val="center"/>
            </w:pPr>
            <w:r w:rsidRPr="004B2890">
              <w:t>1225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4925F8" w:rsidP="00725973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  <w:bookmarkStart w:id="0" w:name="_GoBack"/>
            <w:bookmarkEnd w:id="0"/>
          </w:p>
        </w:tc>
        <w:tc>
          <w:tcPr>
            <w:tcW w:w="1399" w:type="pct"/>
            <w:shd w:val="clear" w:color="auto" w:fill="auto"/>
          </w:tcPr>
          <w:p w:rsidR="00725973" w:rsidRDefault="00725973" w:rsidP="00725973">
            <w:r w:rsidRPr="00EF57A8">
              <w:t>Komplektas, aksesuarų, kepurės, generolo (siuvinėjimo ir siuvimo paslauga)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390E1B">
              <w:t>8</w:t>
            </w:r>
          </w:p>
        </w:tc>
        <w:tc>
          <w:tcPr>
            <w:tcW w:w="585" w:type="pct"/>
          </w:tcPr>
          <w:p w:rsidR="00725973" w:rsidRDefault="00725973" w:rsidP="00725973">
            <w:pPr>
              <w:jc w:val="center"/>
            </w:pPr>
            <w:r w:rsidRPr="004B2890">
              <w:t>6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CC66F2" w:rsidRPr="00AB5BEA" w:rsidTr="00CC66F2">
        <w:trPr>
          <w:trHeight w:val="180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AB5BEA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Bendra kaina Eur be PVM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C66F2" w:rsidRPr="00AB5BEA" w:rsidTr="00CC66F2">
        <w:trPr>
          <w:trHeight w:val="183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6C256E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                                          PVM suma Eur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</w:p>
        </w:tc>
      </w:tr>
      <w:tr w:rsidR="00CC66F2" w:rsidRPr="000B6148" w:rsidTr="00CC66F2">
        <w:trPr>
          <w:trHeight w:val="174"/>
        </w:trPr>
        <w:tc>
          <w:tcPr>
            <w:tcW w:w="4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F2" w:rsidRDefault="00CC66F2" w:rsidP="00AB5BEA">
            <w:pPr>
              <w:ind w:firstLine="284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Bendra kaina Eur su PVM</w:t>
            </w:r>
          </w:p>
        </w:tc>
        <w:tc>
          <w:tcPr>
            <w:tcW w:w="585" w:type="pct"/>
          </w:tcPr>
          <w:p w:rsidR="00CC66F2" w:rsidRPr="000B6148" w:rsidRDefault="00CC66F2" w:rsidP="006C256E">
            <w:pPr>
              <w:jc w:val="center"/>
              <w:rPr>
                <w:b/>
              </w:rPr>
            </w:pPr>
          </w:p>
        </w:tc>
      </w:tr>
    </w:tbl>
    <w:p w:rsidR="005E6C13" w:rsidRDefault="0087278D" w:rsidP="00902DD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DF7F8A" w:rsidRDefault="00DF7F8A" w:rsidP="00902DD4">
      <w:pPr>
        <w:jc w:val="both"/>
        <w:rPr>
          <w:b/>
          <w:sz w:val="16"/>
          <w:szCs w:val="16"/>
        </w:rPr>
      </w:pPr>
    </w:p>
    <w:p w:rsidR="00DF7F8A" w:rsidRPr="00A87BAA" w:rsidRDefault="00DF7F8A" w:rsidP="00902DD4">
      <w:pPr>
        <w:jc w:val="both"/>
        <w:rPr>
          <w:b/>
          <w:sz w:val="16"/>
          <w:szCs w:val="16"/>
        </w:rPr>
      </w:pPr>
    </w:p>
    <w:p w:rsidR="008C60AD" w:rsidRDefault="008C60AD" w:rsidP="00297B40">
      <w:pPr>
        <w:jc w:val="both"/>
        <w:rPr>
          <w:b/>
        </w:rPr>
      </w:pPr>
      <w:r>
        <w:rPr>
          <w:b/>
        </w:rPr>
        <w:t xml:space="preserve">  </w:t>
      </w:r>
      <w:r w:rsidR="00DF7F8A">
        <w:rPr>
          <w:b/>
        </w:rPr>
        <w:t xml:space="preserve"> </w:t>
      </w:r>
      <w:r>
        <w:rPr>
          <w:b/>
        </w:rPr>
        <w:t xml:space="preserve">                               </w:t>
      </w:r>
    </w:p>
    <w:tbl>
      <w:tblPr>
        <w:tblW w:w="4602" w:type="pct"/>
        <w:tblInd w:w="-284" w:type="dxa"/>
        <w:tblLook w:val="04A0" w:firstRow="1" w:lastRow="0" w:firstColumn="1" w:lastColumn="0" w:noHBand="0" w:noVBand="1"/>
      </w:tblPr>
      <w:tblGrid>
        <w:gridCol w:w="4110"/>
        <w:gridCol w:w="4963"/>
        <w:gridCol w:w="3685"/>
      </w:tblGrid>
      <w:tr w:rsidR="008C60AD" w:rsidTr="00CC66F2">
        <w:tc>
          <w:tcPr>
            <w:tcW w:w="1611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TEIKĖJAS</w:t>
            </w: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</w:tr>
      <w:tr w:rsidR="008C60AD" w:rsidTr="00CC66F2">
        <w:tc>
          <w:tcPr>
            <w:tcW w:w="1611" w:type="pct"/>
            <w:hideMark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lang w:eastAsia="ar-SA"/>
              </w:rPr>
              <w:t>Gynybos resursų agentūra</w:t>
            </w:r>
            <w:r w:rsidR="00F33EE4">
              <w:rPr>
                <w:rFonts w:eastAsia="Arial"/>
                <w:b/>
                <w:lang w:eastAsia="ar-SA"/>
              </w:rPr>
              <w:t xml:space="preserve"> prie Krašto apsaugos ministerijos</w:t>
            </w: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suppressAutoHyphens/>
              <w:jc w:val="both"/>
              <w:rPr>
                <w:b/>
              </w:rPr>
            </w:pP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  <w:r>
              <w:rPr>
                <w:rFonts w:ascii="TimesLT" w:eastAsia="Arial" w:hAnsi="TimesLT"/>
                <w:sz w:val="20"/>
                <w:szCs w:val="20"/>
                <w:lang w:eastAsia="ar-SA"/>
              </w:rPr>
              <w:t xml:space="preserve"> 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 w:rsidP="00F33EE4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</w:tc>
      </w:tr>
    </w:tbl>
    <w:p w:rsidR="009A2C33" w:rsidRPr="009A2C33" w:rsidRDefault="009A2C33" w:rsidP="009A2C33">
      <w:pPr>
        <w:tabs>
          <w:tab w:val="center" w:pos="284"/>
          <w:tab w:val="right" w:pos="9638"/>
        </w:tabs>
        <w:suppressAutoHyphens/>
        <w:jc w:val="both"/>
        <w:rPr>
          <w:b/>
          <w:i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56780B" w:rsidRDefault="0056780B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sectPr w:rsidR="009A2C33" w:rsidSect="00DF7F8A">
      <w:pgSz w:w="16838" w:h="11906" w:orient="landscape"/>
      <w:pgMar w:top="709" w:right="709" w:bottom="567" w:left="1134" w:header="567" w:footer="567" w:gutter="113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2C" w:rsidRDefault="00F2062C" w:rsidP="000B6148">
      <w:r>
        <w:separator/>
      </w:r>
    </w:p>
  </w:endnote>
  <w:endnote w:type="continuationSeparator" w:id="0">
    <w:p w:rsidR="00F2062C" w:rsidRDefault="00F2062C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2C" w:rsidRDefault="00F2062C" w:rsidP="000B6148">
      <w:r>
        <w:separator/>
      </w:r>
    </w:p>
  </w:footnote>
  <w:footnote w:type="continuationSeparator" w:id="0">
    <w:p w:rsidR="00F2062C" w:rsidRDefault="00F2062C" w:rsidP="000B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30F33"/>
    <w:rsid w:val="00066560"/>
    <w:rsid w:val="00082177"/>
    <w:rsid w:val="0008221B"/>
    <w:rsid w:val="00084C9E"/>
    <w:rsid w:val="000865DA"/>
    <w:rsid w:val="000A1A27"/>
    <w:rsid w:val="000B12CF"/>
    <w:rsid w:val="000B54DF"/>
    <w:rsid w:val="000B6148"/>
    <w:rsid w:val="000D1197"/>
    <w:rsid w:val="000F4109"/>
    <w:rsid w:val="00102CDE"/>
    <w:rsid w:val="0010322A"/>
    <w:rsid w:val="001171EE"/>
    <w:rsid w:val="00146B16"/>
    <w:rsid w:val="00161729"/>
    <w:rsid w:val="00163851"/>
    <w:rsid w:val="00164E48"/>
    <w:rsid w:val="00173E0F"/>
    <w:rsid w:val="00174A75"/>
    <w:rsid w:val="001826BF"/>
    <w:rsid w:val="001A4753"/>
    <w:rsid w:val="001B74AD"/>
    <w:rsid w:val="001C5A35"/>
    <w:rsid w:val="001E196A"/>
    <w:rsid w:val="002340C8"/>
    <w:rsid w:val="00253C27"/>
    <w:rsid w:val="00254000"/>
    <w:rsid w:val="00260FDA"/>
    <w:rsid w:val="002621ED"/>
    <w:rsid w:val="0027165D"/>
    <w:rsid w:val="00273F20"/>
    <w:rsid w:val="00297B40"/>
    <w:rsid w:val="002A0B9D"/>
    <w:rsid w:val="002B30C2"/>
    <w:rsid w:val="002B5DB6"/>
    <w:rsid w:val="002C3799"/>
    <w:rsid w:val="002D04A4"/>
    <w:rsid w:val="002E6B2C"/>
    <w:rsid w:val="002E719E"/>
    <w:rsid w:val="00307084"/>
    <w:rsid w:val="003304CD"/>
    <w:rsid w:val="003470A9"/>
    <w:rsid w:val="00350102"/>
    <w:rsid w:val="00364C00"/>
    <w:rsid w:val="00371331"/>
    <w:rsid w:val="0038411B"/>
    <w:rsid w:val="003A10B3"/>
    <w:rsid w:val="003C7635"/>
    <w:rsid w:val="003D5163"/>
    <w:rsid w:val="00407325"/>
    <w:rsid w:val="00413EDE"/>
    <w:rsid w:val="00416389"/>
    <w:rsid w:val="00445CB2"/>
    <w:rsid w:val="004528CC"/>
    <w:rsid w:val="00464A9A"/>
    <w:rsid w:val="004763E3"/>
    <w:rsid w:val="00476B7D"/>
    <w:rsid w:val="00487219"/>
    <w:rsid w:val="004925F8"/>
    <w:rsid w:val="004929A2"/>
    <w:rsid w:val="00493CD6"/>
    <w:rsid w:val="004C10C4"/>
    <w:rsid w:val="004D0FDA"/>
    <w:rsid w:val="004D367B"/>
    <w:rsid w:val="004D4B21"/>
    <w:rsid w:val="004E62F5"/>
    <w:rsid w:val="004F7F52"/>
    <w:rsid w:val="00540FEB"/>
    <w:rsid w:val="0055167C"/>
    <w:rsid w:val="00557F7C"/>
    <w:rsid w:val="0056780B"/>
    <w:rsid w:val="00567E59"/>
    <w:rsid w:val="005718CF"/>
    <w:rsid w:val="005A2AA7"/>
    <w:rsid w:val="005B5051"/>
    <w:rsid w:val="005E6C13"/>
    <w:rsid w:val="005F173D"/>
    <w:rsid w:val="00615EEA"/>
    <w:rsid w:val="00641B35"/>
    <w:rsid w:val="006421FC"/>
    <w:rsid w:val="00645EFC"/>
    <w:rsid w:val="006A65A7"/>
    <w:rsid w:val="006C256E"/>
    <w:rsid w:val="00701715"/>
    <w:rsid w:val="00703484"/>
    <w:rsid w:val="00725973"/>
    <w:rsid w:val="00734756"/>
    <w:rsid w:val="007769CC"/>
    <w:rsid w:val="00792480"/>
    <w:rsid w:val="007A632E"/>
    <w:rsid w:val="007B4415"/>
    <w:rsid w:val="007D1A84"/>
    <w:rsid w:val="007D545A"/>
    <w:rsid w:val="007F1B89"/>
    <w:rsid w:val="00801F86"/>
    <w:rsid w:val="0080398B"/>
    <w:rsid w:val="008372F3"/>
    <w:rsid w:val="008450B3"/>
    <w:rsid w:val="0085097A"/>
    <w:rsid w:val="00867C74"/>
    <w:rsid w:val="0087278D"/>
    <w:rsid w:val="008C60AD"/>
    <w:rsid w:val="008D4B7B"/>
    <w:rsid w:val="008D70F3"/>
    <w:rsid w:val="008D7A9D"/>
    <w:rsid w:val="008E4F1E"/>
    <w:rsid w:val="00902DD4"/>
    <w:rsid w:val="0092535B"/>
    <w:rsid w:val="0098233C"/>
    <w:rsid w:val="009A2B5E"/>
    <w:rsid w:val="009A2C33"/>
    <w:rsid w:val="009C2827"/>
    <w:rsid w:val="009E1B94"/>
    <w:rsid w:val="009E38B2"/>
    <w:rsid w:val="00A012E8"/>
    <w:rsid w:val="00A20216"/>
    <w:rsid w:val="00A27F5D"/>
    <w:rsid w:val="00A579C7"/>
    <w:rsid w:val="00A6767E"/>
    <w:rsid w:val="00A67A8F"/>
    <w:rsid w:val="00A83527"/>
    <w:rsid w:val="00A83A35"/>
    <w:rsid w:val="00A87BAA"/>
    <w:rsid w:val="00A96052"/>
    <w:rsid w:val="00AB5BEA"/>
    <w:rsid w:val="00AB707E"/>
    <w:rsid w:val="00B075A1"/>
    <w:rsid w:val="00B1469F"/>
    <w:rsid w:val="00B22F09"/>
    <w:rsid w:val="00B2755C"/>
    <w:rsid w:val="00B531AC"/>
    <w:rsid w:val="00B61D16"/>
    <w:rsid w:val="00B63FEA"/>
    <w:rsid w:val="00B904DD"/>
    <w:rsid w:val="00B95921"/>
    <w:rsid w:val="00BA7C58"/>
    <w:rsid w:val="00BB70C4"/>
    <w:rsid w:val="00BD66B7"/>
    <w:rsid w:val="00BE4B9D"/>
    <w:rsid w:val="00BF3FC9"/>
    <w:rsid w:val="00C11C0E"/>
    <w:rsid w:val="00C14ECB"/>
    <w:rsid w:val="00C31AAA"/>
    <w:rsid w:val="00C4292A"/>
    <w:rsid w:val="00C430C5"/>
    <w:rsid w:val="00C63C22"/>
    <w:rsid w:val="00C807B3"/>
    <w:rsid w:val="00C83F04"/>
    <w:rsid w:val="00C94BA5"/>
    <w:rsid w:val="00CA3D17"/>
    <w:rsid w:val="00CC2FA2"/>
    <w:rsid w:val="00CC66F2"/>
    <w:rsid w:val="00CD2903"/>
    <w:rsid w:val="00D004ED"/>
    <w:rsid w:val="00D117D8"/>
    <w:rsid w:val="00D224D5"/>
    <w:rsid w:val="00D241FF"/>
    <w:rsid w:val="00D27080"/>
    <w:rsid w:val="00D4157D"/>
    <w:rsid w:val="00D447BD"/>
    <w:rsid w:val="00D44AB4"/>
    <w:rsid w:val="00D46AA2"/>
    <w:rsid w:val="00D522F9"/>
    <w:rsid w:val="00D7291E"/>
    <w:rsid w:val="00D74DEB"/>
    <w:rsid w:val="00D83CEC"/>
    <w:rsid w:val="00DB033D"/>
    <w:rsid w:val="00DD1533"/>
    <w:rsid w:val="00DD4804"/>
    <w:rsid w:val="00DD602A"/>
    <w:rsid w:val="00DE73DA"/>
    <w:rsid w:val="00DF7F8A"/>
    <w:rsid w:val="00E17168"/>
    <w:rsid w:val="00E4483E"/>
    <w:rsid w:val="00E74972"/>
    <w:rsid w:val="00EB0252"/>
    <w:rsid w:val="00EC78DB"/>
    <w:rsid w:val="00EF3BBE"/>
    <w:rsid w:val="00F2062C"/>
    <w:rsid w:val="00F33EE4"/>
    <w:rsid w:val="00F45510"/>
    <w:rsid w:val="00F504E9"/>
    <w:rsid w:val="00F7345F"/>
    <w:rsid w:val="00F744E0"/>
    <w:rsid w:val="00F75771"/>
    <w:rsid w:val="00F75F08"/>
    <w:rsid w:val="00F83E8D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3A20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">
    <w:name w:val="Body Text2"/>
    <w:rsid w:val="00AB5BE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3">
    <w:name w:val="Body Text3"/>
    <w:rsid w:val="008C60A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ablecaption2">
    <w:name w:val="Table caption (2)_"/>
    <w:basedOn w:val="DefaultParagraphFont"/>
    <w:link w:val="Tablecaption20"/>
    <w:rsid w:val="00DB03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DB033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E9A5-CDD9-46BD-88E6-2A9763E5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dcterms:created xsi:type="dcterms:W3CDTF">2025-10-16T10:28:00Z</dcterms:created>
  <dcterms:modified xsi:type="dcterms:W3CDTF">2025-10-16T12:33:00Z</dcterms:modified>
</cp:coreProperties>
</file>