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E1F6" w14:textId="4703499B" w:rsidR="00180BE3" w:rsidRPr="00180BE3" w:rsidRDefault="00044EC9" w:rsidP="00180BE3">
      <w:pPr>
        <w:jc w:val="right"/>
        <w:rPr>
          <w:rFonts w:cstheme="minorHAnsi"/>
        </w:rPr>
      </w:pPr>
      <w:r w:rsidRPr="00180BE3">
        <w:rPr>
          <w:rFonts w:cstheme="minorHAnsi"/>
        </w:rPr>
        <w:tab/>
      </w:r>
      <w:r w:rsidR="00881F62" w:rsidRPr="00180BE3">
        <w:rPr>
          <w:rFonts w:cstheme="minorHAnsi"/>
        </w:rPr>
        <w:tab/>
      </w:r>
      <w:r w:rsidR="00881F62" w:rsidRPr="00180BE3">
        <w:rPr>
          <w:rFonts w:cstheme="minorHAnsi"/>
        </w:rPr>
        <w:tab/>
      </w:r>
      <w:r w:rsidR="00881F62" w:rsidRPr="00180BE3">
        <w:rPr>
          <w:rFonts w:cstheme="minorHAnsi"/>
        </w:rPr>
        <w:tab/>
      </w:r>
      <w:r w:rsidR="00881F62" w:rsidRPr="00180BE3">
        <w:rPr>
          <w:rFonts w:cstheme="minorHAnsi"/>
        </w:rPr>
        <w:tab/>
      </w:r>
      <w:r w:rsidR="00881F62" w:rsidRPr="00180BE3">
        <w:rPr>
          <w:rFonts w:cstheme="minorHAnsi"/>
        </w:rPr>
        <w:tab/>
      </w:r>
      <w:r w:rsidR="00180BE3" w:rsidRPr="00180BE3">
        <w:rPr>
          <w:rFonts w:cstheme="minorHAnsi"/>
        </w:rPr>
        <w:t>2025-</w:t>
      </w:r>
      <w:r w:rsidR="003A0A0B">
        <w:rPr>
          <w:rFonts w:cstheme="minorHAnsi"/>
        </w:rPr>
        <w:t>10-</w:t>
      </w:r>
      <w:r w:rsidR="00BC2E2E">
        <w:rPr>
          <w:rFonts w:cstheme="minorHAnsi"/>
        </w:rPr>
        <w:t>2</w:t>
      </w:r>
      <w:r w:rsidR="005A5335">
        <w:rPr>
          <w:rFonts w:cstheme="minorHAnsi"/>
        </w:rPr>
        <w:t>3</w:t>
      </w:r>
    </w:p>
    <w:p w14:paraId="5A1B54EC" w14:textId="77777777" w:rsidR="00881F62" w:rsidRPr="00180BE3" w:rsidRDefault="00881F62">
      <w:pPr>
        <w:rPr>
          <w:rFonts w:cstheme="minorHAnsi"/>
        </w:rPr>
      </w:pPr>
    </w:p>
    <w:p w14:paraId="409C7649" w14:textId="623ED86D" w:rsidR="00881F62" w:rsidRPr="00180BE3" w:rsidRDefault="00881F62">
      <w:pPr>
        <w:rPr>
          <w:rFonts w:cstheme="minorHAnsi"/>
          <w:b/>
          <w:bCs/>
        </w:rPr>
      </w:pPr>
      <w:r w:rsidRPr="00180BE3">
        <w:rPr>
          <w:rFonts w:cstheme="minorHAnsi"/>
          <w:b/>
          <w:bCs/>
        </w:rPr>
        <w:t>DĖL ATSAKYM</w:t>
      </w:r>
      <w:r w:rsidR="00180BE3" w:rsidRPr="00180BE3">
        <w:rPr>
          <w:rFonts w:cstheme="minorHAnsi"/>
          <w:b/>
          <w:bCs/>
        </w:rPr>
        <w:t>Ų</w:t>
      </w:r>
      <w:r w:rsidRPr="00180BE3">
        <w:rPr>
          <w:rFonts w:cstheme="minorHAnsi"/>
          <w:b/>
          <w:bCs/>
        </w:rPr>
        <w:t xml:space="preserve"> Į KLAUSIM</w:t>
      </w:r>
      <w:r w:rsidR="00180BE3" w:rsidRPr="00180BE3">
        <w:rPr>
          <w:rFonts w:cstheme="minorHAnsi"/>
          <w:b/>
          <w:bCs/>
        </w:rPr>
        <w:t>US</w:t>
      </w:r>
    </w:p>
    <w:p w14:paraId="7007552D" w14:textId="593AB97A" w:rsidR="003F13E1" w:rsidRPr="00180BE3" w:rsidRDefault="003F13E1" w:rsidP="003F13E1">
      <w:pPr>
        <w:tabs>
          <w:tab w:val="left" w:pos="630"/>
        </w:tabs>
        <w:spacing w:after="0" w:line="240" w:lineRule="auto"/>
        <w:ind w:firstLine="567"/>
        <w:jc w:val="both"/>
        <w:rPr>
          <w:rFonts w:cstheme="minorHAnsi"/>
        </w:rPr>
      </w:pPr>
      <w:r w:rsidRPr="00180BE3">
        <w:rPr>
          <w:rFonts w:cstheme="minorHAnsi"/>
        </w:rPr>
        <w:t>Informuojame, kad viešojo pirkimo komisija (toliau – Komisija), išnagrinėjusi CVP IS priemonėmis pateikt</w:t>
      </w:r>
      <w:r w:rsidR="00180BE3" w:rsidRPr="00180BE3">
        <w:rPr>
          <w:rFonts w:cstheme="minorHAnsi"/>
        </w:rPr>
        <w:t>us</w:t>
      </w:r>
      <w:r w:rsidRPr="00180BE3">
        <w:rPr>
          <w:rFonts w:cstheme="minorHAnsi"/>
        </w:rPr>
        <w:t xml:space="preserve"> klausim</w:t>
      </w:r>
      <w:r w:rsidR="00180BE3" w:rsidRPr="00180BE3">
        <w:rPr>
          <w:rFonts w:cstheme="minorHAnsi"/>
        </w:rPr>
        <w:t>u</w:t>
      </w:r>
      <w:r w:rsidRPr="00180BE3">
        <w:rPr>
          <w:rFonts w:cstheme="minorHAnsi"/>
        </w:rPr>
        <w:t>s atsak</w:t>
      </w:r>
      <w:r w:rsidR="00180BE3" w:rsidRPr="00180BE3">
        <w:rPr>
          <w:rFonts w:cstheme="minorHAnsi"/>
        </w:rPr>
        <w:t>o</w:t>
      </w:r>
      <w:r w:rsidRPr="00180BE3">
        <w:rPr>
          <w:rFonts w:cstheme="minorHAnsi"/>
        </w:rPr>
        <w:t xml:space="preserve"> taip:</w:t>
      </w:r>
    </w:p>
    <w:tbl>
      <w:tblPr>
        <w:tblStyle w:val="Lentelstinklelis"/>
        <w:tblW w:w="0" w:type="auto"/>
        <w:tblLook w:val="04A0" w:firstRow="1" w:lastRow="0" w:firstColumn="1" w:lastColumn="0" w:noHBand="0" w:noVBand="1"/>
      </w:tblPr>
      <w:tblGrid>
        <w:gridCol w:w="4814"/>
        <w:gridCol w:w="4814"/>
      </w:tblGrid>
      <w:tr w:rsidR="00180BE3" w:rsidRPr="00180BE3" w14:paraId="4E2A2A0F" w14:textId="77777777" w:rsidTr="00105A5F">
        <w:trPr>
          <w:trHeight w:val="425"/>
        </w:trPr>
        <w:tc>
          <w:tcPr>
            <w:tcW w:w="4814" w:type="dxa"/>
            <w:vAlign w:val="center"/>
          </w:tcPr>
          <w:p w14:paraId="054ECC6D" w14:textId="77777777" w:rsidR="00180BE3" w:rsidRPr="00180BE3" w:rsidRDefault="00180BE3" w:rsidP="00105A5F">
            <w:pPr>
              <w:tabs>
                <w:tab w:val="left" w:pos="630"/>
              </w:tabs>
              <w:jc w:val="center"/>
              <w:rPr>
                <w:rFonts w:cstheme="minorHAnsi"/>
                <w:b/>
                <w:bCs/>
                <w:i/>
                <w:color w:val="538135" w:themeColor="accent6" w:themeShade="BF"/>
              </w:rPr>
            </w:pPr>
            <w:r w:rsidRPr="00180BE3">
              <w:rPr>
                <w:rFonts w:cstheme="minorHAnsi"/>
                <w:b/>
                <w:bCs/>
              </w:rPr>
              <w:t xml:space="preserve">Tiekėjo klausimas/prašymas </w:t>
            </w:r>
            <w:r w:rsidRPr="00180BE3">
              <w:rPr>
                <w:rFonts w:cstheme="minorHAnsi"/>
              </w:rPr>
              <w:t>(kalba netaisyta)</w:t>
            </w:r>
            <w:r w:rsidRPr="00180BE3">
              <w:rPr>
                <w:rFonts w:cstheme="minorHAnsi"/>
                <w:b/>
                <w:bCs/>
              </w:rPr>
              <w:t>:</w:t>
            </w:r>
          </w:p>
        </w:tc>
        <w:tc>
          <w:tcPr>
            <w:tcW w:w="4814" w:type="dxa"/>
            <w:vAlign w:val="center"/>
          </w:tcPr>
          <w:p w14:paraId="3B051CAF" w14:textId="77777777" w:rsidR="00180BE3" w:rsidRPr="00180BE3" w:rsidRDefault="00180BE3" w:rsidP="00105A5F">
            <w:pPr>
              <w:tabs>
                <w:tab w:val="left" w:pos="630"/>
              </w:tabs>
              <w:jc w:val="center"/>
              <w:rPr>
                <w:rFonts w:cstheme="minorHAnsi"/>
                <w:b/>
                <w:bCs/>
              </w:rPr>
            </w:pPr>
            <w:r w:rsidRPr="00180BE3">
              <w:rPr>
                <w:rFonts w:cstheme="minorHAnsi"/>
                <w:b/>
                <w:bCs/>
              </w:rPr>
              <w:t>Atsakymas:</w:t>
            </w:r>
          </w:p>
        </w:tc>
      </w:tr>
      <w:tr w:rsidR="00180BE3" w:rsidRPr="00180BE3" w14:paraId="05772D52" w14:textId="77777777" w:rsidTr="00105A5F">
        <w:tc>
          <w:tcPr>
            <w:tcW w:w="4814" w:type="dxa"/>
          </w:tcPr>
          <w:p w14:paraId="75450D8B" w14:textId="77777777" w:rsidR="00BF3D16" w:rsidRPr="00BF3D16" w:rsidRDefault="00BF3D16" w:rsidP="00BF3D16">
            <w:pPr>
              <w:jc w:val="both"/>
              <w:rPr>
                <w:rFonts w:cstheme="minorHAnsi"/>
              </w:rPr>
            </w:pPr>
            <w:r w:rsidRPr="00BF3D16">
              <w:rPr>
                <w:rFonts w:cstheme="minorHAnsi"/>
              </w:rPr>
              <w:t>Jūsų pateiktas atsakymas prieštarauja logikai:</w:t>
            </w:r>
          </w:p>
          <w:p w14:paraId="752590C4" w14:textId="77777777" w:rsidR="00BF3D16" w:rsidRPr="00BF3D16" w:rsidRDefault="00BF3D16" w:rsidP="00BF3D16">
            <w:pPr>
              <w:jc w:val="both"/>
              <w:rPr>
                <w:rFonts w:cstheme="minorHAnsi"/>
              </w:rPr>
            </w:pPr>
          </w:p>
          <w:p w14:paraId="3D2FB866" w14:textId="77777777" w:rsidR="00BF3D16" w:rsidRPr="00BF3D16" w:rsidRDefault="00BF3D16" w:rsidP="00BF3D16">
            <w:pPr>
              <w:jc w:val="both"/>
              <w:rPr>
                <w:rFonts w:cstheme="minorHAnsi"/>
              </w:rPr>
            </w:pPr>
            <w:r w:rsidRPr="00BF3D16">
              <w:rPr>
                <w:rFonts w:cstheme="minorHAnsi"/>
              </w:rPr>
              <w:t xml:space="preserve">....... kadangi ne visų alyvų gamintojai turi galimybę viešai pateikti tiesioginius išrašus iš OĮG sistemų, tačiau jų produktai yra įtraukti į OĮG patvirtintus sąrašus ar gamintojo oficialiai deklaruojami kaip turintys konkrečius patvirtinimus. </w:t>
            </w:r>
          </w:p>
          <w:p w14:paraId="6AC1EB02" w14:textId="77777777" w:rsidR="00BF3D16" w:rsidRPr="00BF3D16" w:rsidRDefault="00BF3D16" w:rsidP="00BF3D16">
            <w:pPr>
              <w:jc w:val="both"/>
              <w:rPr>
                <w:rFonts w:cstheme="minorHAnsi"/>
              </w:rPr>
            </w:pPr>
          </w:p>
          <w:p w14:paraId="6EF3FEE1" w14:textId="2C619048" w:rsidR="00180BE3" w:rsidRPr="00180BE3" w:rsidRDefault="00BF3D16" w:rsidP="00BF3D16">
            <w:pPr>
              <w:jc w:val="both"/>
              <w:rPr>
                <w:rFonts w:cstheme="minorHAnsi"/>
              </w:rPr>
            </w:pPr>
            <w:r w:rsidRPr="00BF3D16">
              <w:rPr>
                <w:rFonts w:cstheme="minorHAnsi"/>
              </w:rPr>
              <w:t>Tiekėjas, kurio produktas patvirtintas OĮG ar įtrauktas į OĮG sąrašus, automatiškai gauna patvirtinimo raštus arba informacija skelbiama viešai prieinamoje aplinkoje, todėl teiginys kad gamintojas neturės galimybės pateikti išrašų iš OĮG sistemų yra nelogiškas ir neatitinkantis tikroves.</w:t>
            </w:r>
          </w:p>
        </w:tc>
        <w:tc>
          <w:tcPr>
            <w:tcW w:w="4814" w:type="dxa"/>
          </w:tcPr>
          <w:p w14:paraId="2B3E05F4" w14:textId="149BF9CF" w:rsidR="00180BE3" w:rsidRPr="00180BE3" w:rsidRDefault="00F55BE0" w:rsidP="00105A5F">
            <w:pPr>
              <w:tabs>
                <w:tab w:val="left" w:pos="4696"/>
                <w:tab w:val="left" w:pos="6687"/>
              </w:tabs>
              <w:jc w:val="both"/>
              <w:rPr>
                <w:rFonts w:cstheme="minorHAnsi"/>
                <w:b/>
                <w:bCs/>
                <w:i/>
                <w:color w:val="538135" w:themeColor="accent6" w:themeShade="BF"/>
              </w:rPr>
            </w:pPr>
            <w:r>
              <w:rPr>
                <w:rFonts w:eastAsia="Times New Roman" w:cstheme="minorHAnsi"/>
              </w:rPr>
              <w:t xml:space="preserve">Atliekant rinkos tyrimą ir rengiantis pirkimui buvo nustatyta, kad </w:t>
            </w:r>
            <w:r w:rsidR="00642426">
              <w:rPr>
                <w:rFonts w:eastAsia="Times New Roman" w:cstheme="minorHAnsi"/>
              </w:rPr>
              <w:t>dalis gamintojų šiuos dokumentus teikia tik pagal užklausą ir neskelbia jų viešai</w:t>
            </w:r>
            <w:r w:rsidR="00E875A1">
              <w:rPr>
                <w:rFonts w:eastAsia="Times New Roman" w:cstheme="minorHAnsi"/>
              </w:rPr>
              <w:t xml:space="preserve">, dėl šios priežasties ne visi tiekėjai </w:t>
            </w:r>
            <w:r w:rsidR="00B83F8B">
              <w:rPr>
                <w:rFonts w:eastAsia="Times New Roman" w:cstheme="minorHAnsi"/>
              </w:rPr>
              <w:t xml:space="preserve">turi galimybę šiuos duomenis pateikti iš viešai prieinamų </w:t>
            </w:r>
            <w:r w:rsidR="00AF3BFE">
              <w:rPr>
                <w:rFonts w:eastAsia="Times New Roman" w:cstheme="minorHAnsi"/>
              </w:rPr>
              <w:t>šaltinių</w:t>
            </w:r>
            <w:r w:rsidR="008D2F92">
              <w:rPr>
                <w:rFonts w:eastAsia="Times New Roman" w:cstheme="minorHAnsi"/>
              </w:rPr>
              <w:t xml:space="preserve">. Toks reikalavimas tiekėjams dirbtinai </w:t>
            </w:r>
            <w:r w:rsidR="00B24217">
              <w:rPr>
                <w:rFonts w:eastAsia="Times New Roman" w:cstheme="minorHAnsi"/>
              </w:rPr>
              <w:t>ribotų konkurenciją</w:t>
            </w:r>
            <w:r w:rsidR="00AE172B">
              <w:rPr>
                <w:rFonts w:eastAsia="Times New Roman" w:cstheme="minorHAnsi"/>
              </w:rPr>
              <w:t>.</w:t>
            </w:r>
          </w:p>
        </w:tc>
      </w:tr>
      <w:tr w:rsidR="00DC0932" w:rsidRPr="00180BE3" w14:paraId="6D666A2E" w14:textId="77777777" w:rsidTr="00105A5F">
        <w:tc>
          <w:tcPr>
            <w:tcW w:w="4814" w:type="dxa"/>
          </w:tcPr>
          <w:p w14:paraId="5B271705" w14:textId="77777777" w:rsidR="00D34640" w:rsidRPr="00D34640" w:rsidRDefault="00D34640" w:rsidP="00D34640">
            <w:pPr>
              <w:jc w:val="both"/>
              <w:rPr>
                <w:rFonts w:cstheme="minorHAnsi"/>
              </w:rPr>
            </w:pPr>
            <w:r w:rsidRPr="00D34640">
              <w:rPr>
                <w:rFonts w:cstheme="minorHAnsi"/>
              </w:rPr>
              <w:t xml:space="preserve">2poz Hidraulinei alyvai ISO VG 22 neatliekami testai pagal nurodytus siurblių testus </w:t>
            </w:r>
            <w:proofErr w:type="spellStart"/>
            <w:r w:rsidRPr="00D34640">
              <w:rPr>
                <w:rFonts w:cstheme="minorHAnsi"/>
              </w:rPr>
              <w:t>Eaton</w:t>
            </w:r>
            <w:proofErr w:type="spellEnd"/>
            <w:r w:rsidRPr="00D34640">
              <w:rPr>
                <w:rFonts w:cstheme="minorHAnsi"/>
              </w:rPr>
              <w:t xml:space="preserve"> </w:t>
            </w:r>
            <w:proofErr w:type="spellStart"/>
            <w:r w:rsidRPr="00D34640">
              <w:rPr>
                <w:rFonts w:cstheme="minorHAnsi"/>
              </w:rPr>
              <w:t>Vickers</w:t>
            </w:r>
            <w:proofErr w:type="spellEnd"/>
            <w:r w:rsidRPr="00D34640">
              <w:rPr>
                <w:rFonts w:cstheme="minorHAnsi"/>
              </w:rPr>
              <w:t xml:space="preserve"> M-2950-S arba E-FDGN-TB002-E, todėl šios siurblių specifikacijos/testai negali būti prie ISO VG 22 hidraulinės alyvos ir tokiu būdu turi būti pašalinti iš specifikacijos reikalavimų.</w:t>
            </w:r>
          </w:p>
          <w:p w14:paraId="05AB0957" w14:textId="77777777" w:rsidR="00D34640" w:rsidRPr="00D34640" w:rsidRDefault="00D34640" w:rsidP="00D34640">
            <w:pPr>
              <w:jc w:val="both"/>
              <w:rPr>
                <w:rFonts w:cstheme="minorHAnsi"/>
              </w:rPr>
            </w:pPr>
          </w:p>
          <w:p w14:paraId="01E12FC0" w14:textId="0D91FF03" w:rsidR="00DC0932" w:rsidRPr="002A4BDB" w:rsidRDefault="00D34640" w:rsidP="00D34640">
            <w:pPr>
              <w:jc w:val="both"/>
              <w:rPr>
                <w:rFonts w:cstheme="minorHAnsi"/>
              </w:rPr>
            </w:pPr>
            <w:r w:rsidRPr="00D34640">
              <w:rPr>
                <w:rFonts w:cstheme="minorHAnsi"/>
              </w:rPr>
              <w:t xml:space="preserve">Remiantis aukščiau išdėstytu, prašome </w:t>
            </w:r>
            <w:proofErr w:type="spellStart"/>
            <w:r w:rsidRPr="00D34640">
              <w:rPr>
                <w:rFonts w:cstheme="minorHAnsi"/>
              </w:rPr>
              <w:t>koreaguoti</w:t>
            </w:r>
            <w:proofErr w:type="spellEnd"/>
            <w:r w:rsidRPr="00D34640">
              <w:rPr>
                <w:rFonts w:cstheme="minorHAnsi"/>
              </w:rPr>
              <w:t xml:space="preserve"> technines </w:t>
            </w:r>
            <w:proofErr w:type="spellStart"/>
            <w:r w:rsidRPr="00D34640">
              <w:rPr>
                <w:rFonts w:cstheme="minorHAnsi"/>
              </w:rPr>
              <w:t>salygas</w:t>
            </w:r>
            <w:proofErr w:type="spellEnd"/>
            <w:r w:rsidRPr="00D34640">
              <w:rPr>
                <w:rFonts w:cstheme="minorHAnsi"/>
              </w:rPr>
              <w:t>.</w:t>
            </w:r>
          </w:p>
        </w:tc>
        <w:tc>
          <w:tcPr>
            <w:tcW w:w="4814" w:type="dxa"/>
          </w:tcPr>
          <w:p w14:paraId="65BFE20F" w14:textId="77777777" w:rsidR="0082011F" w:rsidRPr="0082011F" w:rsidRDefault="0082011F" w:rsidP="0082011F">
            <w:pPr>
              <w:tabs>
                <w:tab w:val="left" w:pos="4696"/>
                <w:tab w:val="left" w:pos="6687"/>
              </w:tabs>
              <w:jc w:val="both"/>
              <w:rPr>
                <w:rFonts w:eastAsia="Times New Roman" w:cstheme="minorHAnsi"/>
              </w:rPr>
            </w:pPr>
            <w:r w:rsidRPr="0082011F">
              <w:rPr>
                <w:rFonts w:eastAsia="Times New Roman" w:cstheme="minorHAnsi"/>
              </w:rPr>
              <w:t xml:space="preserve">Remiantis ankstesnių pirkimų patirtimi ir atliktos rinkos konsultacijos rezultatais, buvo nustatyta, kad tiekėjai rinkoje siūlo hidraulines alyvas, atitinkančias specifikaciją </w:t>
            </w:r>
            <w:proofErr w:type="spellStart"/>
            <w:r w:rsidRPr="0082011F">
              <w:rPr>
                <w:rFonts w:eastAsia="Times New Roman" w:cstheme="minorHAnsi"/>
              </w:rPr>
              <w:t>Eaton</w:t>
            </w:r>
            <w:proofErr w:type="spellEnd"/>
            <w:r w:rsidRPr="0082011F">
              <w:rPr>
                <w:rFonts w:eastAsia="Times New Roman" w:cstheme="minorHAnsi"/>
              </w:rPr>
              <w:t xml:space="preserve"> </w:t>
            </w:r>
            <w:proofErr w:type="spellStart"/>
            <w:r w:rsidRPr="0082011F">
              <w:rPr>
                <w:rFonts w:eastAsia="Times New Roman" w:cstheme="minorHAnsi"/>
              </w:rPr>
              <w:t>Vickers</w:t>
            </w:r>
            <w:proofErr w:type="spellEnd"/>
            <w:r w:rsidRPr="0082011F">
              <w:rPr>
                <w:rFonts w:eastAsia="Times New Roman" w:cstheme="minorHAnsi"/>
              </w:rPr>
              <w:t xml:space="preserve"> M-2950-S.</w:t>
            </w:r>
          </w:p>
          <w:p w14:paraId="0D5046C6" w14:textId="77777777" w:rsidR="0082011F" w:rsidRPr="0082011F" w:rsidRDefault="0082011F" w:rsidP="0082011F">
            <w:pPr>
              <w:tabs>
                <w:tab w:val="left" w:pos="4696"/>
                <w:tab w:val="left" w:pos="6687"/>
              </w:tabs>
              <w:jc w:val="both"/>
              <w:rPr>
                <w:rFonts w:eastAsia="Times New Roman" w:cstheme="minorHAnsi"/>
              </w:rPr>
            </w:pPr>
            <w:r w:rsidRPr="0082011F">
              <w:rPr>
                <w:rFonts w:eastAsia="Times New Roman" w:cstheme="minorHAnsi"/>
              </w:rPr>
              <w:t xml:space="preserve">Perkančioji organizacija techninį reikalavimą dėl </w:t>
            </w:r>
            <w:proofErr w:type="spellStart"/>
            <w:r w:rsidRPr="0082011F">
              <w:rPr>
                <w:rFonts w:eastAsia="Times New Roman" w:cstheme="minorHAnsi"/>
              </w:rPr>
              <w:t>Eaton</w:t>
            </w:r>
            <w:proofErr w:type="spellEnd"/>
            <w:r w:rsidRPr="0082011F">
              <w:rPr>
                <w:rFonts w:eastAsia="Times New Roman" w:cstheme="minorHAnsi"/>
              </w:rPr>
              <w:t xml:space="preserve"> </w:t>
            </w:r>
            <w:proofErr w:type="spellStart"/>
            <w:r w:rsidRPr="0082011F">
              <w:rPr>
                <w:rFonts w:eastAsia="Times New Roman" w:cstheme="minorHAnsi"/>
              </w:rPr>
              <w:t>Vickers</w:t>
            </w:r>
            <w:proofErr w:type="spellEnd"/>
            <w:r w:rsidRPr="0082011F">
              <w:rPr>
                <w:rFonts w:eastAsia="Times New Roman" w:cstheme="minorHAnsi"/>
              </w:rPr>
              <w:t xml:space="preserve"> M-2950-S ir E-FDGN-TB002-E specifikacijų įtraukė, siekdama sudaryti galimybę tiekėjams siūlyti produktus, atitinkančius tiek senesnės, tiek naujesnės specifikacijos reikalavimus, taip užtikrinant platesnę konkurenciją ir skaidrumą.</w:t>
            </w:r>
          </w:p>
          <w:p w14:paraId="36F19824" w14:textId="7947235B" w:rsidR="00DC0932" w:rsidRPr="00B64E69" w:rsidRDefault="0082011F" w:rsidP="00105A5F">
            <w:pPr>
              <w:tabs>
                <w:tab w:val="left" w:pos="4696"/>
                <w:tab w:val="left" w:pos="6687"/>
              </w:tabs>
              <w:jc w:val="both"/>
              <w:rPr>
                <w:rFonts w:eastAsia="Times New Roman" w:cstheme="minorHAnsi"/>
                <w:strike/>
              </w:rPr>
            </w:pPr>
            <w:r w:rsidRPr="0082011F">
              <w:rPr>
                <w:rFonts w:eastAsia="Times New Roman" w:cstheme="minorHAnsi"/>
              </w:rPr>
              <w:t>Atkreipiame dėmesį, kad šiai pirkimo pozicijai nėra keliamas reikalavimas turėti oficialų OEM patvirtinimą dėl šių specifikacijų atitikties. Todėl tiekėjai gali siūlyti alyvą, atitinkančią arba lygiavertę pagal eksploatacines savybes, jei tai pagrindžiama gamintojo techniniais duomenimis ar lygiavertiškumą įrodančia dokumentacija.</w:t>
            </w:r>
          </w:p>
        </w:tc>
      </w:tr>
      <w:tr w:rsidR="00B56560" w:rsidRPr="00180BE3" w14:paraId="5C39BC6D" w14:textId="77777777" w:rsidTr="00105A5F">
        <w:tc>
          <w:tcPr>
            <w:tcW w:w="4814" w:type="dxa"/>
          </w:tcPr>
          <w:p w14:paraId="595D83E2" w14:textId="6C94E931" w:rsidR="00B56560" w:rsidRPr="00627979" w:rsidRDefault="00D809F5" w:rsidP="005B143F">
            <w:pPr>
              <w:jc w:val="both"/>
              <w:rPr>
                <w:rFonts w:cstheme="minorHAnsi"/>
              </w:rPr>
            </w:pPr>
            <w:r w:rsidRPr="00A00608">
              <w:t xml:space="preserve">II pirkimo dalis – </w:t>
            </w:r>
            <w:proofErr w:type="spellStart"/>
            <w:r w:rsidRPr="00A00608">
              <w:t>Transmisinės</w:t>
            </w:r>
            <w:proofErr w:type="spellEnd"/>
            <w:r w:rsidRPr="00A00608">
              <w:t xml:space="preserve"> alyvos, 5 dalyje prašote pateikti UTTO alyvą SAE 85W, kad neriboti konkurencijos, prašome papildyti reikalavimą SAE 75W-80.</w:t>
            </w:r>
          </w:p>
        </w:tc>
        <w:tc>
          <w:tcPr>
            <w:tcW w:w="4814" w:type="dxa"/>
          </w:tcPr>
          <w:p w14:paraId="73995408" w14:textId="723D474A" w:rsidR="00B56560" w:rsidRPr="0082011F" w:rsidRDefault="0082011F" w:rsidP="00105A5F">
            <w:pPr>
              <w:tabs>
                <w:tab w:val="left" w:pos="4696"/>
                <w:tab w:val="left" w:pos="6687"/>
              </w:tabs>
              <w:jc w:val="both"/>
              <w:rPr>
                <w:rFonts w:eastAsia="Times New Roman" w:cstheme="minorHAnsi"/>
              </w:rPr>
            </w:pPr>
            <w:r w:rsidRPr="0082011F">
              <w:rPr>
                <w:rFonts w:eastAsia="Times New Roman" w:cstheme="minorHAnsi"/>
              </w:rPr>
              <w:t>Tiekėjas gali siūlyti lygiavertę arba aukštesnės kokybės alyvą nei nurodyta techninėje specifikacijoje.</w:t>
            </w:r>
            <w:r w:rsidRPr="0082011F">
              <w:rPr>
                <w:rFonts w:eastAsia="Times New Roman" w:cstheme="minorHAnsi"/>
              </w:rPr>
              <w:br/>
              <w:t xml:space="preserve">Jei </w:t>
            </w:r>
            <w:r w:rsidR="00BC7B5D">
              <w:rPr>
                <w:rFonts w:eastAsia="Times New Roman" w:cstheme="minorHAnsi"/>
              </w:rPr>
              <w:t>siūloma</w:t>
            </w:r>
            <w:r w:rsidRPr="0082011F">
              <w:rPr>
                <w:rFonts w:eastAsia="Times New Roman" w:cstheme="minorHAnsi"/>
              </w:rPr>
              <w:t xml:space="preserve"> alyva yra lygiavertė arba aukštesnės kokybės už reikalaujamą UTTO SAE 85W ir atitinka nurodytas specifikacijas, ją galima siūlyti.</w:t>
            </w:r>
          </w:p>
        </w:tc>
      </w:tr>
      <w:tr w:rsidR="00D373BE" w:rsidRPr="00180BE3" w14:paraId="057D9ED4" w14:textId="77777777" w:rsidTr="00105A5F">
        <w:tc>
          <w:tcPr>
            <w:tcW w:w="4814" w:type="dxa"/>
          </w:tcPr>
          <w:p w14:paraId="36D46846" w14:textId="77777777" w:rsidR="004230AC" w:rsidRPr="004230AC" w:rsidRDefault="004230AC" w:rsidP="004230AC">
            <w:pPr>
              <w:jc w:val="both"/>
              <w:rPr>
                <w:rFonts w:cstheme="minorHAnsi"/>
              </w:rPr>
            </w:pPr>
            <w:r w:rsidRPr="004230AC">
              <w:rPr>
                <w:rFonts w:cstheme="minorHAnsi"/>
              </w:rPr>
              <w:t xml:space="preserve">Techninių sąlygų priede Nr. 1 Jūs pateikiate skirtingą reikalavimą dėl techninių duomenų lapų vertimo. 3.4 punkte nurodote, kad turi būti pateikiami originalai su vertimų į lietuvių kalbą o to pačio priedo Techniniai reikalavimai rašote "Dokumentai </w:t>
            </w:r>
            <w:r w:rsidRPr="004230AC">
              <w:rPr>
                <w:rFonts w:cstheme="minorHAnsi"/>
              </w:rPr>
              <w:lastRenderedPageBreak/>
              <w:t>(Prekės gamintojo techninė dokumentacija (katalogai, brošiūros) ir/ar Prekės gamintojo deklaracijos ar kiti lygiaverčiai dokumentai, įrodantys siūlomos Prekės atitikimą techninėms charakteristikoms) gali būti pateikti lietuvių ir/arba anglų kalba".</w:t>
            </w:r>
          </w:p>
          <w:p w14:paraId="643AE7FB" w14:textId="0DB12531" w:rsidR="00D373BE" w:rsidRPr="005B143F" w:rsidRDefault="004230AC" w:rsidP="004230AC">
            <w:pPr>
              <w:jc w:val="both"/>
              <w:rPr>
                <w:rFonts w:cstheme="minorHAnsi"/>
              </w:rPr>
            </w:pPr>
            <w:r w:rsidRPr="004230AC">
              <w:rPr>
                <w:rFonts w:cstheme="minorHAnsi"/>
              </w:rPr>
              <w:t>Prašome aiškiai nurodyti ar techninių duomenų lapai ir OEM patvirtinimai privalo būti pateikiame lietuvių kalba ar gali būti pateikiami lietuvių arba anglų kalba.</w:t>
            </w:r>
          </w:p>
        </w:tc>
        <w:tc>
          <w:tcPr>
            <w:tcW w:w="4814" w:type="dxa"/>
          </w:tcPr>
          <w:p w14:paraId="2A605A1C" w14:textId="27F616FB" w:rsidR="0014512E" w:rsidRPr="0014512E" w:rsidRDefault="0014512E" w:rsidP="0014512E">
            <w:pPr>
              <w:tabs>
                <w:tab w:val="left" w:pos="4696"/>
                <w:tab w:val="left" w:pos="6687"/>
              </w:tabs>
              <w:jc w:val="both"/>
              <w:rPr>
                <w:rFonts w:eastAsia="Times New Roman" w:cstheme="minorHAnsi"/>
              </w:rPr>
            </w:pPr>
            <w:r w:rsidRPr="0014512E">
              <w:rPr>
                <w:rFonts w:eastAsia="Times New Roman" w:cstheme="minorHAnsi"/>
              </w:rPr>
              <w:lastRenderedPageBreak/>
              <w:t>Technin</w:t>
            </w:r>
            <w:r w:rsidR="00D715A0">
              <w:rPr>
                <w:rFonts w:eastAsia="Times New Roman" w:cstheme="minorHAnsi"/>
              </w:rPr>
              <w:t xml:space="preserve">ės </w:t>
            </w:r>
            <w:r w:rsidRPr="0014512E">
              <w:rPr>
                <w:rFonts w:eastAsia="Times New Roman" w:cstheme="minorHAnsi"/>
              </w:rPr>
              <w:t>s</w:t>
            </w:r>
            <w:r w:rsidR="00D715A0">
              <w:rPr>
                <w:rFonts w:eastAsia="Times New Roman" w:cstheme="minorHAnsi"/>
              </w:rPr>
              <w:t>pecifikacijos</w:t>
            </w:r>
            <w:r w:rsidRPr="0014512E">
              <w:rPr>
                <w:rFonts w:eastAsia="Times New Roman" w:cstheme="minorHAnsi"/>
              </w:rPr>
              <w:t xml:space="preserve"> 3.4 punkte nurodytas reikalavimas dėl techninių duomenų lapų vertimo į lietuvių kalbą taikomas dokumentams, kurie yra būtini vertinant pasiūlymo atitiktį techninės specifikacijos reikalavimams.</w:t>
            </w:r>
          </w:p>
          <w:p w14:paraId="4D6DAEE0" w14:textId="77777777" w:rsidR="0014512E" w:rsidRPr="0014512E" w:rsidRDefault="0014512E" w:rsidP="0014512E">
            <w:pPr>
              <w:tabs>
                <w:tab w:val="left" w:pos="4696"/>
                <w:tab w:val="left" w:pos="6687"/>
              </w:tabs>
              <w:jc w:val="both"/>
              <w:rPr>
                <w:rFonts w:eastAsia="Times New Roman" w:cstheme="minorHAnsi"/>
              </w:rPr>
            </w:pPr>
            <w:r w:rsidRPr="0014512E">
              <w:rPr>
                <w:rFonts w:eastAsia="Times New Roman" w:cstheme="minorHAnsi"/>
              </w:rPr>
              <w:lastRenderedPageBreak/>
              <w:t>Tuo tarpu techniniuose reikalavimuose pateikta formuluotė, kad dokumentai gali būti pateikiami lietuvių ir/arba anglų kalba, reiškia, kad pasiūlymo pateikimo metu tiekėjai gali teikti dokumentus (pvz. katalogus, brošiūras, gamintojo deklaracijas) anglų kalba.</w:t>
            </w:r>
          </w:p>
          <w:p w14:paraId="42E27A60" w14:textId="03DAA4E4" w:rsidR="00D373BE" w:rsidRPr="000A4539" w:rsidRDefault="0014512E" w:rsidP="0014512E">
            <w:pPr>
              <w:tabs>
                <w:tab w:val="left" w:pos="4696"/>
                <w:tab w:val="left" w:pos="6687"/>
              </w:tabs>
              <w:jc w:val="both"/>
              <w:rPr>
                <w:rFonts w:eastAsia="Times New Roman" w:cstheme="minorHAnsi"/>
              </w:rPr>
            </w:pPr>
            <w:r w:rsidRPr="0014512E">
              <w:rPr>
                <w:rFonts w:eastAsia="Times New Roman" w:cstheme="minorHAnsi"/>
              </w:rPr>
              <w:t>Jeigu vertinimo metu perkančioji organizacija nustato, kad pateiktos informacijos nepakanka tinkamai įvertinti atitiktį techniniams reikalavimams, tiekėjas gali būti paprašytas pateikti šių dokumentų ar jų dalių vertimą į lietuvių kalbą.</w:t>
            </w:r>
          </w:p>
        </w:tc>
      </w:tr>
    </w:tbl>
    <w:p w14:paraId="0515F1F5" w14:textId="77777777" w:rsidR="00180BE3" w:rsidRPr="00180BE3" w:rsidRDefault="00180BE3" w:rsidP="003F13E1">
      <w:pPr>
        <w:tabs>
          <w:tab w:val="left" w:pos="630"/>
        </w:tabs>
        <w:spacing w:after="0" w:line="240" w:lineRule="auto"/>
        <w:ind w:firstLine="567"/>
        <w:jc w:val="both"/>
        <w:rPr>
          <w:rFonts w:cstheme="minorHAnsi"/>
        </w:rPr>
      </w:pPr>
    </w:p>
    <w:p w14:paraId="6310E460" w14:textId="4C70CCF4" w:rsidR="00D405B6" w:rsidRPr="00180BE3" w:rsidRDefault="005A5335" w:rsidP="00BC7B5D">
      <w:pPr>
        <w:ind w:firstLine="1296"/>
        <w:rPr>
          <w:rFonts w:cstheme="minorHAnsi"/>
        </w:rPr>
      </w:pPr>
      <w:r>
        <w:rPr>
          <w:rFonts w:cstheme="minorHAnsi"/>
        </w:rPr>
        <w:t xml:space="preserve">Taip pat, atsižvelgiant į tai, kad atsakymai pateikiami likus mažai laiko iki numatyto pasiūlymų pateikimo termino pabaigos, </w:t>
      </w:r>
      <w:r w:rsidR="00BC7B5D">
        <w:rPr>
          <w:rFonts w:cstheme="minorHAnsi"/>
        </w:rPr>
        <w:t xml:space="preserve">pasiūlymų pateikimo terminas pratęsiamas iki </w:t>
      </w:r>
      <w:r w:rsidR="00BC7B5D" w:rsidRPr="00BC7B5D">
        <w:rPr>
          <w:rFonts w:cstheme="minorHAnsi"/>
          <w:b/>
          <w:bCs/>
        </w:rPr>
        <w:t>2025-11-05 10:00 val.</w:t>
      </w:r>
    </w:p>
    <w:sectPr w:rsidR="00D405B6" w:rsidRPr="00180BE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949DE"/>
    <w:multiLevelType w:val="multilevel"/>
    <w:tmpl w:val="29D0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336369"/>
    <w:multiLevelType w:val="hybridMultilevel"/>
    <w:tmpl w:val="0456B0F2"/>
    <w:lvl w:ilvl="0" w:tplc="ABAA4D78">
      <w:start w:val="1"/>
      <w:numFmt w:val="decimal"/>
      <w:suff w:val="space"/>
      <w:lvlText w:val="%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5475065">
    <w:abstractNumId w:val="1"/>
  </w:num>
  <w:num w:numId="2" w16cid:durableId="184204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D1"/>
    <w:rsid w:val="00000F41"/>
    <w:rsid w:val="00044EC9"/>
    <w:rsid w:val="00050ED4"/>
    <w:rsid w:val="000A4539"/>
    <w:rsid w:val="000E6371"/>
    <w:rsid w:val="00117F70"/>
    <w:rsid w:val="00134200"/>
    <w:rsid w:val="0014512E"/>
    <w:rsid w:val="00180BE3"/>
    <w:rsid w:val="00190291"/>
    <w:rsid w:val="001A314C"/>
    <w:rsid w:val="001D4874"/>
    <w:rsid w:val="001D4CA7"/>
    <w:rsid w:val="001F2F58"/>
    <w:rsid w:val="00241EA5"/>
    <w:rsid w:val="002A4BDB"/>
    <w:rsid w:val="003070CE"/>
    <w:rsid w:val="00314746"/>
    <w:rsid w:val="003440E2"/>
    <w:rsid w:val="0035399D"/>
    <w:rsid w:val="003A0A0B"/>
    <w:rsid w:val="003B1D79"/>
    <w:rsid w:val="003D5F11"/>
    <w:rsid w:val="003F13E1"/>
    <w:rsid w:val="004230AC"/>
    <w:rsid w:val="0049453C"/>
    <w:rsid w:val="004E1C3F"/>
    <w:rsid w:val="00510895"/>
    <w:rsid w:val="00535DB7"/>
    <w:rsid w:val="0055333B"/>
    <w:rsid w:val="005A5335"/>
    <w:rsid w:val="005B143F"/>
    <w:rsid w:val="005D7400"/>
    <w:rsid w:val="005E7022"/>
    <w:rsid w:val="005F5675"/>
    <w:rsid w:val="00626790"/>
    <w:rsid w:val="00627979"/>
    <w:rsid w:val="00631811"/>
    <w:rsid w:val="00642426"/>
    <w:rsid w:val="006530F9"/>
    <w:rsid w:val="006D4603"/>
    <w:rsid w:val="006E45AB"/>
    <w:rsid w:val="00716F50"/>
    <w:rsid w:val="00730B34"/>
    <w:rsid w:val="007534DA"/>
    <w:rsid w:val="00774AE8"/>
    <w:rsid w:val="007C2687"/>
    <w:rsid w:val="007E6801"/>
    <w:rsid w:val="00812869"/>
    <w:rsid w:val="0082011F"/>
    <w:rsid w:val="0082764D"/>
    <w:rsid w:val="008448B3"/>
    <w:rsid w:val="00853635"/>
    <w:rsid w:val="00881F62"/>
    <w:rsid w:val="00882D75"/>
    <w:rsid w:val="00887F19"/>
    <w:rsid w:val="008C4D00"/>
    <w:rsid w:val="008D129C"/>
    <w:rsid w:val="008D2F92"/>
    <w:rsid w:val="00940B2E"/>
    <w:rsid w:val="00945AF7"/>
    <w:rsid w:val="00960178"/>
    <w:rsid w:val="0096723A"/>
    <w:rsid w:val="00970E86"/>
    <w:rsid w:val="00985707"/>
    <w:rsid w:val="009A1BA1"/>
    <w:rsid w:val="00A539CD"/>
    <w:rsid w:val="00A554D1"/>
    <w:rsid w:val="00A6655C"/>
    <w:rsid w:val="00AE172B"/>
    <w:rsid w:val="00AF3BFE"/>
    <w:rsid w:val="00B2105F"/>
    <w:rsid w:val="00B24217"/>
    <w:rsid w:val="00B35126"/>
    <w:rsid w:val="00B5176F"/>
    <w:rsid w:val="00B56560"/>
    <w:rsid w:val="00B64E69"/>
    <w:rsid w:val="00B83F8B"/>
    <w:rsid w:val="00B90E34"/>
    <w:rsid w:val="00BA7B94"/>
    <w:rsid w:val="00BC2E2E"/>
    <w:rsid w:val="00BC7B5D"/>
    <w:rsid w:val="00BE5222"/>
    <w:rsid w:val="00BF3D16"/>
    <w:rsid w:val="00C26955"/>
    <w:rsid w:val="00C771B8"/>
    <w:rsid w:val="00C8740B"/>
    <w:rsid w:val="00C978B9"/>
    <w:rsid w:val="00CD3C25"/>
    <w:rsid w:val="00D25235"/>
    <w:rsid w:val="00D34640"/>
    <w:rsid w:val="00D373BE"/>
    <w:rsid w:val="00D405B6"/>
    <w:rsid w:val="00D715A0"/>
    <w:rsid w:val="00D809F5"/>
    <w:rsid w:val="00DC0932"/>
    <w:rsid w:val="00DE37D3"/>
    <w:rsid w:val="00E875A1"/>
    <w:rsid w:val="00EB6E15"/>
    <w:rsid w:val="00EE3830"/>
    <w:rsid w:val="00EF42E3"/>
    <w:rsid w:val="00F164EA"/>
    <w:rsid w:val="00F55BE0"/>
    <w:rsid w:val="00F675DC"/>
    <w:rsid w:val="00FC475B"/>
    <w:rsid w:val="00FE5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9411"/>
  <w15:chartTrackingRefBased/>
  <w15:docId w15:val="{AF92C2EB-0946-4B7C-B607-CF85E4D0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881F6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881F62"/>
    <w:rPr>
      <w:b/>
      <w:bCs/>
    </w:rPr>
  </w:style>
  <w:style w:type="character" w:styleId="Hipersaitas">
    <w:name w:val="Hyperlink"/>
    <w:basedOn w:val="Numatytasispastraiposriftas"/>
    <w:uiPriority w:val="99"/>
    <w:unhideWhenUsed/>
    <w:rsid w:val="00881F62"/>
    <w:rPr>
      <w:color w:val="0563C1" w:themeColor="hyperlink"/>
      <w:u w:val="single"/>
    </w:rPr>
  </w:style>
  <w:style w:type="character" w:styleId="Neapdorotaspaminjimas">
    <w:name w:val="Unresolved Mention"/>
    <w:basedOn w:val="Numatytasispastraiposriftas"/>
    <w:uiPriority w:val="99"/>
    <w:semiHidden/>
    <w:unhideWhenUsed/>
    <w:rsid w:val="00881F62"/>
    <w:rPr>
      <w:color w:val="605E5C"/>
      <w:shd w:val="clear" w:color="auto" w:fill="E1DFDD"/>
    </w:rPr>
  </w:style>
  <w:style w:type="character" w:styleId="Emfaz">
    <w:name w:val="Emphasis"/>
    <w:basedOn w:val="Numatytasispastraiposriftas"/>
    <w:uiPriority w:val="20"/>
    <w:qFormat/>
    <w:rsid w:val="00945AF7"/>
    <w:rPr>
      <w:i/>
      <w:iCs/>
    </w:rPr>
  </w:style>
  <w:style w:type="character" w:customStyle="1" w:styleId="Stilius1">
    <w:name w:val="Stilius1"/>
    <w:basedOn w:val="Numatytasispastraiposriftas"/>
    <w:uiPriority w:val="1"/>
    <w:rsid w:val="003F13E1"/>
    <w:rPr>
      <w:rFonts w:ascii="Times New Roman" w:hAnsi="Times New Roman"/>
      <w:sz w:val="24"/>
    </w:rPr>
  </w:style>
  <w:style w:type="character" w:customStyle="1" w:styleId="Stilius2">
    <w:name w:val="Stilius2"/>
    <w:basedOn w:val="Numatytasispastraiposriftas"/>
    <w:uiPriority w:val="1"/>
    <w:rsid w:val="003F13E1"/>
    <w:rPr>
      <w:rFonts w:ascii="Times New Roman" w:hAnsi="Times New Roman"/>
      <w:sz w:val="24"/>
    </w:rPr>
  </w:style>
  <w:style w:type="table" w:styleId="Lentelstinklelis">
    <w:name w:val="Table Grid"/>
    <w:basedOn w:val="prastojilentel"/>
    <w:uiPriority w:val="59"/>
    <w:rsid w:val="003F13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80BE3"/>
    <w:pPr>
      <w:spacing w:after="200" w:line="276" w:lineRule="auto"/>
      <w:ind w:left="720"/>
      <w:contextualSpacing/>
    </w:pPr>
    <w:rPr>
      <w:rFonts w:ascii="Calibri" w:eastAsia="Times New Roman" w:hAnsi="Calibri" w:cs="Times New Roman"/>
      <w:kern w:val="0"/>
      <w:lang w:val="en-US"/>
      <w14:ligatures w14:val="none"/>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80BE3"/>
    <w:rPr>
      <w:rFonts w:ascii="Calibri" w:eastAsia="Times New Roman" w:hAnsi="Calibri" w:cs="Times New Roman"/>
      <w:kern w:val="0"/>
      <w:lang w:val="en-US"/>
      <w14:ligatures w14:val="none"/>
    </w:rPr>
  </w:style>
  <w:style w:type="character" w:styleId="Komentaronuoroda">
    <w:name w:val="annotation reference"/>
    <w:basedOn w:val="Numatytasispastraiposriftas"/>
    <w:uiPriority w:val="99"/>
    <w:semiHidden/>
    <w:unhideWhenUsed/>
    <w:rsid w:val="001D4874"/>
    <w:rPr>
      <w:sz w:val="16"/>
      <w:szCs w:val="16"/>
    </w:rPr>
  </w:style>
  <w:style w:type="paragraph" w:styleId="Komentarotekstas">
    <w:name w:val="annotation text"/>
    <w:basedOn w:val="prastasis"/>
    <w:link w:val="KomentarotekstasDiagrama"/>
    <w:uiPriority w:val="99"/>
    <w:unhideWhenUsed/>
    <w:rsid w:val="001D48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D4874"/>
    <w:rPr>
      <w:sz w:val="20"/>
      <w:szCs w:val="20"/>
    </w:rPr>
  </w:style>
  <w:style w:type="paragraph" w:styleId="Komentarotema">
    <w:name w:val="annotation subject"/>
    <w:basedOn w:val="Komentarotekstas"/>
    <w:next w:val="Komentarotekstas"/>
    <w:link w:val="KomentarotemaDiagrama"/>
    <w:uiPriority w:val="99"/>
    <w:semiHidden/>
    <w:unhideWhenUsed/>
    <w:rsid w:val="001D4874"/>
    <w:rPr>
      <w:b/>
      <w:bCs/>
    </w:rPr>
  </w:style>
  <w:style w:type="character" w:customStyle="1" w:styleId="KomentarotemaDiagrama">
    <w:name w:val="Komentaro tema Diagrama"/>
    <w:basedOn w:val="KomentarotekstasDiagrama"/>
    <w:link w:val="Komentarotema"/>
    <w:uiPriority w:val="99"/>
    <w:semiHidden/>
    <w:rsid w:val="001D48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389">
      <w:bodyDiv w:val="1"/>
      <w:marLeft w:val="0"/>
      <w:marRight w:val="0"/>
      <w:marTop w:val="0"/>
      <w:marBottom w:val="0"/>
      <w:divBdr>
        <w:top w:val="none" w:sz="0" w:space="0" w:color="auto"/>
        <w:left w:val="none" w:sz="0" w:space="0" w:color="auto"/>
        <w:bottom w:val="none" w:sz="0" w:space="0" w:color="auto"/>
        <w:right w:val="none" w:sz="0" w:space="0" w:color="auto"/>
      </w:divBdr>
    </w:div>
    <w:div w:id="206078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2731</Words>
  <Characters>1557</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Guzelis</dc:creator>
  <cp:keywords/>
  <dc:description/>
  <cp:lastModifiedBy>Egidijus Kemeraitis</cp:lastModifiedBy>
  <cp:revision>2</cp:revision>
  <dcterms:created xsi:type="dcterms:W3CDTF">2025-10-23T08:26:00Z</dcterms:created>
  <dcterms:modified xsi:type="dcterms:W3CDTF">2025-10-23T08:26:00Z</dcterms:modified>
</cp:coreProperties>
</file>