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5096" w14:textId="77777777" w:rsidR="00AE3FA2" w:rsidRDefault="00AE3FA2" w:rsidP="0087021D">
      <w:pPr>
        <w:spacing w:after="0" w:line="240" w:lineRule="auto"/>
        <w:jc w:val="center"/>
        <w:rPr>
          <w:rFonts w:ascii="Calibri" w:eastAsia="Calibri" w:hAnsi="Calibri" w:cs="Calibri"/>
          <w:color w:val="000000" w:themeColor="text1"/>
        </w:rPr>
      </w:pPr>
      <w:r>
        <w:rPr>
          <w:noProof/>
        </w:rPr>
        <w:drawing>
          <wp:inline distT="0" distB="0" distL="0" distR="0" wp14:anchorId="3B8B7609" wp14:editId="703C11EE">
            <wp:extent cx="597535" cy="597535"/>
            <wp:effectExtent l="0" t="0" r="0" b="0"/>
            <wp:docPr id="225466710" name="Paveikslėlis 1" descr="Paveikslėlis, kuriame yra papuošalas, simbolis, embl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49D5F03" w14:textId="77777777" w:rsidR="00AE3FA2" w:rsidRDefault="00AE3FA2" w:rsidP="0087021D">
      <w:pPr>
        <w:spacing w:after="0" w:line="240" w:lineRule="auto"/>
        <w:jc w:val="center"/>
        <w:rPr>
          <w:rFonts w:ascii="Times New Roman" w:eastAsia="Times New Roman" w:hAnsi="Times New Roman" w:cs="Times New Roman"/>
          <w:color w:val="000000" w:themeColor="text1"/>
          <w:sz w:val="24"/>
          <w:szCs w:val="24"/>
        </w:rPr>
      </w:pPr>
      <w:r w:rsidRPr="022C54DA">
        <w:rPr>
          <w:rFonts w:ascii="Times New Roman" w:eastAsia="Times New Roman" w:hAnsi="Times New Roman" w:cs="Times New Roman"/>
          <w:b/>
          <w:bCs/>
          <w:color w:val="000000" w:themeColor="text1"/>
          <w:sz w:val="24"/>
          <w:szCs w:val="24"/>
        </w:rPr>
        <w:t>VILNIAUS MIESTO SAVIVALDYBĖS ADMINISTRACIJOS</w:t>
      </w:r>
      <w:r w:rsidRPr="022C54DA">
        <w:rPr>
          <w:rFonts w:ascii="Times New Roman" w:eastAsia="Times New Roman" w:hAnsi="Times New Roman" w:cs="Times New Roman"/>
          <w:color w:val="000000" w:themeColor="text1"/>
          <w:sz w:val="24"/>
          <w:szCs w:val="24"/>
        </w:rPr>
        <w:t> </w:t>
      </w:r>
    </w:p>
    <w:p w14:paraId="1452CBBC" w14:textId="77777777" w:rsidR="00AE3FA2" w:rsidRDefault="00AE3FA2" w:rsidP="0087021D">
      <w:pPr>
        <w:spacing w:after="0" w:line="240" w:lineRule="auto"/>
        <w:jc w:val="center"/>
        <w:rPr>
          <w:rFonts w:ascii="Calibri" w:eastAsia="Calibri" w:hAnsi="Calibri" w:cs="Calibri"/>
          <w:color w:val="000000" w:themeColor="text1"/>
        </w:rPr>
      </w:pPr>
      <w:r>
        <w:rPr>
          <w:rFonts w:ascii="Times New Roman" w:eastAsia="Times New Roman" w:hAnsi="Times New Roman" w:cs="Times New Roman"/>
          <w:b/>
          <w:bCs/>
          <w:color w:val="000000" w:themeColor="text1"/>
          <w:sz w:val="24"/>
          <w:szCs w:val="24"/>
        </w:rPr>
        <w:t>VIEŠŲJŲ PIRKIMŲ SKYRIUS</w:t>
      </w:r>
      <w:r>
        <w:br/>
      </w:r>
    </w:p>
    <w:tbl>
      <w:tblPr>
        <w:tblW w:w="9781" w:type="dxa"/>
        <w:tblLayout w:type="fixed"/>
        <w:tblLook w:val="04A0" w:firstRow="1" w:lastRow="0" w:firstColumn="1" w:lastColumn="0" w:noHBand="0" w:noVBand="1"/>
      </w:tblPr>
      <w:tblGrid>
        <w:gridCol w:w="9781"/>
      </w:tblGrid>
      <w:tr w:rsidR="00AE3FA2" w14:paraId="7A51E6E7" w14:textId="77777777" w:rsidTr="00EC5C6D">
        <w:tc>
          <w:tcPr>
            <w:tcW w:w="9781" w:type="dxa"/>
          </w:tcPr>
          <w:tbl>
            <w:tblPr>
              <w:tblpPr w:leftFromText="180" w:rightFromText="180" w:vertAnchor="text" w:horzAnchor="margin" w:tblpXSpec="center" w:tblpY="97"/>
              <w:tblW w:w="9923" w:type="dxa"/>
              <w:jc w:val="center"/>
              <w:tblLayout w:type="fixed"/>
              <w:tblLook w:val="0000" w:firstRow="0" w:lastRow="0" w:firstColumn="0" w:lastColumn="0" w:noHBand="0" w:noVBand="0"/>
            </w:tblPr>
            <w:tblGrid>
              <w:gridCol w:w="4820"/>
              <w:gridCol w:w="278"/>
              <w:gridCol w:w="1134"/>
              <w:gridCol w:w="567"/>
              <w:gridCol w:w="3124"/>
            </w:tblGrid>
            <w:tr w:rsidR="00AE3FA2" w:rsidRPr="00DD17FF" w14:paraId="3C77DA3C" w14:textId="77777777" w:rsidTr="00D663BE">
              <w:trPr>
                <w:jc w:val="center"/>
              </w:trPr>
              <w:tc>
                <w:tcPr>
                  <w:tcW w:w="4820" w:type="dxa"/>
                </w:tcPr>
                <w:p w14:paraId="17875ADE" w14:textId="1AF38BA6" w:rsidR="00AE3FA2" w:rsidRPr="00D87D05" w:rsidRDefault="00B3708B" w:rsidP="0087021D">
                  <w:pPr>
                    <w:pStyle w:val="Sraopastraipa"/>
                    <w:tabs>
                      <w:tab w:val="left" w:pos="888"/>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Pirkimo dalyviams</w:t>
                  </w:r>
                </w:p>
              </w:tc>
              <w:tc>
                <w:tcPr>
                  <w:tcW w:w="278" w:type="dxa"/>
                </w:tcPr>
                <w:p w14:paraId="3EB5AFE5" w14:textId="77777777" w:rsidR="00AE3FA2" w:rsidRPr="00DD17FF" w:rsidRDefault="00AE3FA2" w:rsidP="0087021D">
                  <w:pPr>
                    <w:spacing w:after="0" w:line="240" w:lineRule="auto"/>
                    <w:ind w:left="33" w:hanging="33"/>
                    <w:jc w:val="both"/>
                    <w:rPr>
                      <w:rFonts w:ascii="Times New Roman" w:hAnsi="Times New Roman" w:cs="Times New Roman"/>
                      <w:sz w:val="24"/>
                      <w:szCs w:val="24"/>
                    </w:rPr>
                  </w:pPr>
                  <w:r w:rsidRPr="00DD17FF">
                    <w:rPr>
                      <w:rFonts w:ascii="Times New Roman" w:hAnsi="Times New Roman" w:cs="Times New Roman"/>
                      <w:sz w:val="24"/>
                      <w:szCs w:val="24"/>
                    </w:rPr>
                    <w:t xml:space="preserve">  </w:t>
                  </w:r>
                </w:p>
              </w:tc>
              <w:tc>
                <w:tcPr>
                  <w:tcW w:w="1134" w:type="dxa"/>
                </w:tcPr>
                <w:p w14:paraId="5B29B556" w14:textId="643D9DCD" w:rsidR="00AE3FA2" w:rsidRPr="00DD17FF" w:rsidRDefault="00AE3FA2" w:rsidP="0087021D">
                  <w:pPr>
                    <w:spacing w:after="0" w:line="240" w:lineRule="auto"/>
                    <w:ind w:right="-108" w:hanging="108"/>
                    <w:jc w:val="both"/>
                    <w:rPr>
                      <w:rFonts w:ascii="Times New Roman" w:hAnsi="Times New Roman" w:cs="Times New Roman"/>
                      <w:sz w:val="24"/>
                      <w:szCs w:val="24"/>
                    </w:rPr>
                  </w:pPr>
                  <w:r w:rsidRPr="00DD17FF">
                    <w:rPr>
                      <w:rFonts w:ascii="Times New Roman" w:hAnsi="Times New Roman" w:cs="Times New Roman"/>
                      <w:sz w:val="24"/>
                      <w:szCs w:val="24"/>
                    </w:rPr>
                    <w:t>202</w:t>
                  </w:r>
                  <w:r w:rsidR="00FD06E8">
                    <w:rPr>
                      <w:rFonts w:ascii="Times New Roman" w:hAnsi="Times New Roman" w:cs="Times New Roman"/>
                      <w:sz w:val="24"/>
                      <w:szCs w:val="24"/>
                    </w:rPr>
                    <w:t>5-10-23</w:t>
                  </w:r>
                  <w:r w:rsidRPr="00DD17FF">
                    <w:rPr>
                      <w:rFonts w:ascii="Times New Roman" w:hAnsi="Times New Roman" w:cs="Times New Roman"/>
                      <w:sz w:val="24"/>
                      <w:szCs w:val="24"/>
                    </w:rPr>
                    <w:t xml:space="preserve">    </w:t>
                  </w:r>
                </w:p>
              </w:tc>
              <w:tc>
                <w:tcPr>
                  <w:tcW w:w="567" w:type="dxa"/>
                </w:tcPr>
                <w:p w14:paraId="6A1E9994" w14:textId="4896DE91" w:rsidR="00AE3FA2" w:rsidRPr="00DD17FF" w:rsidRDefault="00AE3FA2" w:rsidP="0087021D">
                  <w:pPr>
                    <w:spacing w:after="0" w:line="240" w:lineRule="auto"/>
                    <w:ind w:right="-113"/>
                    <w:jc w:val="both"/>
                    <w:rPr>
                      <w:rFonts w:ascii="Times New Roman" w:hAnsi="Times New Roman" w:cs="Times New Roman"/>
                      <w:sz w:val="24"/>
                      <w:szCs w:val="24"/>
                    </w:rPr>
                  </w:pPr>
                </w:p>
              </w:tc>
              <w:tc>
                <w:tcPr>
                  <w:tcW w:w="3124" w:type="dxa"/>
                </w:tcPr>
                <w:p w14:paraId="32F6ADD7" w14:textId="2ADBAD5F" w:rsidR="00AE3FA2" w:rsidRPr="00DD17FF" w:rsidRDefault="00AE3FA2" w:rsidP="0087021D">
                  <w:pPr>
                    <w:spacing w:after="0" w:line="240" w:lineRule="auto"/>
                    <w:jc w:val="both"/>
                    <w:rPr>
                      <w:rFonts w:ascii="Times New Roman" w:hAnsi="Times New Roman" w:cs="Times New Roman"/>
                      <w:sz w:val="24"/>
                      <w:szCs w:val="24"/>
                    </w:rPr>
                  </w:pPr>
                </w:p>
              </w:tc>
            </w:tr>
          </w:tbl>
          <w:p w14:paraId="5CFC146D" w14:textId="77777777" w:rsidR="00AE3FA2" w:rsidRDefault="00AE3FA2" w:rsidP="0087021D">
            <w:pPr>
              <w:suppressAutoHyphens/>
              <w:spacing w:after="0" w:line="240" w:lineRule="auto"/>
              <w:jc w:val="both"/>
              <w:rPr>
                <w:rFonts w:ascii="Times New Roman" w:eastAsia="Times New Roman" w:hAnsi="Times New Roman" w:cs="Times New Roman"/>
                <w:b/>
                <w:bCs/>
                <w:sz w:val="24"/>
                <w:szCs w:val="24"/>
              </w:rPr>
            </w:pPr>
          </w:p>
          <w:p w14:paraId="7EE6E0FB" w14:textId="3225FCF2" w:rsidR="00AE3FA2" w:rsidRDefault="00AE3FA2" w:rsidP="00EC5C6D">
            <w:pPr>
              <w:suppressAutoHyphens/>
              <w:spacing w:after="0" w:line="240" w:lineRule="auto"/>
              <w:jc w:val="both"/>
              <w:rPr>
                <w:rFonts w:ascii="Times New Roman" w:eastAsia="Times New Roman" w:hAnsi="Times New Roman" w:cs="Times New Roman"/>
                <w:sz w:val="24"/>
                <w:szCs w:val="24"/>
              </w:rPr>
            </w:pPr>
            <w:r w:rsidRPr="022C54DA">
              <w:rPr>
                <w:rFonts w:ascii="Times New Roman" w:eastAsia="Times New Roman" w:hAnsi="Times New Roman" w:cs="Times New Roman"/>
                <w:b/>
                <w:bCs/>
                <w:sz w:val="24"/>
                <w:szCs w:val="24"/>
              </w:rPr>
              <w:t>DĖL</w:t>
            </w:r>
            <w:r>
              <w:rPr>
                <w:rFonts w:ascii="Times New Roman" w:eastAsia="Times New Roman" w:hAnsi="Times New Roman" w:cs="Times New Roman"/>
                <w:b/>
                <w:bCs/>
                <w:sz w:val="24"/>
                <w:szCs w:val="24"/>
              </w:rPr>
              <w:t xml:space="preserve"> </w:t>
            </w:r>
            <w:r w:rsidR="00B3708B">
              <w:rPr>
                <w:rFonts w:ascii="Times New Roman" w:eastAsia="Times New Roman" w:hAnsi="Times New Roman" w:cs="Times New Roman"/>
                <w:b/>
                <w:bCs/>
                <w:sz w:val="24"/>
                <w:szCs w:val="24"/>
              </w:rPr>
              <w:t>ATSAKYMO Į TIEKĖJŲ KLAUSIMUS</w:t>
            </w:r>
          </w:p>
        </w:tc>
      </w:tr>
    </w:tbl>
    <w:p w14:paraId="318DAC8F" w14:textId="77777777" w:rsidR="00EC5C6D" w:rsidRDefault="00EC5C6D" w:rsidP="0087021D">
      <w:pPr>
        <w:autoSpaceDE w:val="0"/>
        <w:autoSpaceDN w:val="0"/>
        <w:adjustRightInd w:val="0"/>
        <w:spacing w:after="0" w:line="240" w:lineRule="auto"/>
        <w:ind w:firstLine="567"/>
        <w:jc w:val="both"/>
        <w:rPr>
          <w:rFonts w:ascii="Times New Roman" w:hAnsi="Times New Roman" w:cs="Times New Roman"/>
          <w:sz w:val="24"/>
          <w:szCs w:val="24"/>
        </w:rPr>
      </w:pPr>
    </w:p>
    <w:p w14:paraId="214C4059" w14:textId="58C85668" w:rsidR="00C21D8A" w:rsidRPr="00A9392E" w:rsidRDefault="00AE3FA2" w:rsidP="00897B5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CPO Vilnius – Vilniaus miesto savivaldybės administracijos (toliau – </w:t>
      </w:r>
      <w:r>
        <w:rPr>
          <w:rFonts w:ascii="Times New Roman,Bold" w:hAnsi="Times New Roman,Bold" w:cs="Times New Roman,Bold"/>
          <w:b/>
          <w:bCs/>
          <w:sz w:val="24"/>
          <w:szCs w:val="24"/>
        </w:rPr>
        <w:t>„</w:t>
      </w:r>
      <w:r>
        <w:rPr>
          <w:rFonts w:ascii="Times New Roman" w:hAnsi="Times New Roman" w:cs="Times New Roman"/>
          <w:b/>
          <w:bCs/>
          <w:sz w:val="24"/>
          <w:szCs w:val="24"/>
        </w:rPr>
        <w:t>CPO Vilnius</w:t>
      </w:r>
      <w:r>
        <w:rPr>
          <w:rFonts w:ascii="Times New Roman,Bold" w:hAnsi="Times New Roman,Bold" w:cs="Times New Roman,Bold"/>
          <w:b/>
          <w:bCs/>
          <w:sz w:val="24"/>
          <w:szCs w:val="24"/>
        </w:rPr>
        <w:t>“</w:t>
      </w:r>
      <w:r>
        <w:rPr>
          <w:rFonts w:ascii="Times New Roman" w:hAnsi="Times New Roman" w:cs="Times New Roman"/>
          <w:sz w:val="24"/>
          <w:szCs w:val="24"/>
        </w:rPr>
        <w:t xml:space="preserve">) skelbtame </w:t>
      </w:r>
      <w:r w:rsidR="008F7874">
        <w:rPr>
          <w:rFonts w:ascii="Times New Roman" w:hAnsi="Times New Roman" w:cs="Times New Roman"/>
          <w:sz w:val="24"/>
          <w:szCs w:val="24"/>
        </w:rPr>
        <w:t>supaprastintame</w:t>
      </w:r>
      <w:r>
        <w:rPr>
          <w:rFonts w:ascii="Times New Roman" w:hAnsi="Times New Roman" w:cs="Times New Roman"/>
          <w:sz w:val="24"/>
          <w:szCs w:val="24"/>
        </w:rPr>
        <w:t xml:space="preserve"> pirkime atviro konkurso būdu </w:t>
      </w:r>
      <w:r>
        <w:rPr>
          <w:rFonts w:ascii="Times New Roman,Bold" w:hAnsi="Times New Roman,Bold" w:cs="Times New Roman,Bold"/>
          <w:b/>
          <w:bCs/>
          <w:sz w:val="24"/>
          <w:szCs w:val="24"/>
        </w:rPr>
        <w:t>„</w:t>
      </w:r>
      <w:r w:rsidR="00897B5D" w:rsidRPr="00897B5D">
        <w:rPr>
          <w:rFonts w:ascii="Times New Roman" w:hAnsi="Times New Roman" w:cs="Times New Roman"/>
          <w:b/>
          <w:bCs/>
          <w:sz w:val="24"/>
          <w:szCs w:val="24"/>
        </w:rPr>
        <w:t>ŠP-70329 Dezinfekcijos ir sterilizacinės eksploatacinės priemonės</w:t>
      </w:r>
      <w:r>
        <w:rPr>
          <w:rFonts w:ascii="Times New Roman,Bold" w:hAnsi="Times New Roman,Bold" w:cs="Times New Roman,Bold"/>
          <w:b/>
          <w:bCs/>
          <w:sz w:val="24"/>
          <w:szCs w:val="24"/>
        </w:rPr>
        <w:t xml:space="preserve">“ </w:t>
      </w:r>
      <w:r>
        <w:rPr>
          <w:rFonts w:ascii="Times New Roman" w:hAnsi="Times New Roman" w:cs="Times New Roman"/>
          <w:sz w:val="24"/>
          <w:szCs w:val="24"/>
        </w:rPr>
        <w:t>(</w:t>
      </w:r>
      <w:r w:rsidR="00835910" w:rsidRPr="00835910">
        <w:rPr>
          <w:rFonts w:ascii="Times New Roman" w:hAnsi="Times New Roman" w:cs="Times New Roman"/>
          <w:bCs/>
          <w:i/>
          <w:iCs/>
          <w:sz w:val="24"/>
          <w:szCs w:val="24"/>
        </w:rPr>
        <w:t xml:space="preserve">CVP IS pirkimo </w:t>
      </w:r>
      <w:r w:rsidR="004D3159">
        <w:rPr>
          <w:rFonts w:ascii="Times New Roman" w:hAnsi="Times New Roman" w:cs="Times New Roman"/>
          <w:bCs/>
          <w:i/>
          <w:iCs/>
          <w:sz w:val="24"/>
          <w:szCs w:val="24"/>
        </w:rPr>
        <w:t>ID</w:t>
      </w:r>
      <w:r w:rsidR="00835910" w:rsidRPr="00835910">
        <w:rPr>
          <w:rFonts w:ascii="Times New Roman" w:hAnsi="Times New Roman" w:cs="Times New Roman"/>
          <w:bCs/>
          <w:i/>
          <w:iCs/>
          <w:sz w:val="24"/>
          <w:szCs w:val="24"/>
        </w:rPr>
        <w:t xml:space="preserve"> </w:t>
      </w:r>
      <w:r w:rsidR="00897B5D" w:rsidRPr="00897B5D">
        <w:rPr>
          <w:rFonts w:ascii="Times New Roman" w:hAnsi="Times New Roman" w:cs="Times New Roman"/>
          <w:bCs/>
          <w:i/>
          <w:iCs/>
          <w:sz w:val="24"/>
          <w:szCs w:val="24"/>
        </w:rPr>
        <w:t>5036440</w:t>
      </w:r>
      <w:r w:rsidRPr="00835910">
        <w:rPr>
          <w:rFonts w:ascii="Times New Roman" w:hAnsi="Times New Roman" w:cs="Times New Roman"/>
          <w:sz w:val="24"/>
          <w:szCs w:val="24"/>
        </w:rPr>
        <w:t>)</w:t>
      </w:r>
      <w:r>
        <w:rPr>
          <w:rFonts w:ascii="Times New Roman" w:hAnsi="Times New Roman" w:cs="Times New Roman"/>
          <w:sz w:val="24"/>
          <w:szCs w:val="24"/>
        </w:rPr>
        <w:t xml:space="preserve"> (toliau – </w:t>
      </w:r>
      <w:r>
        <w:rPr>
          <w:rFonts w:ascii="Times New Roman,Bold" w:hAnsi="Times New Roman,Bold" w:cs="Times New Roman,Bold"/>
          <w:b/>
          <w:bCs/>
          <w:sz w:val="24"/>
          <w:szCs w:val="24"/>
        </w:rPr>
        <w:t>„Pirkimas“</w:t>
      </w:r>
      <w:r>
        <w:rPr>
          <w:rFonts w:ascii="Times New Roman" w:hAnsi="Times New Roman" w:cs="Times New Roman"/>
          <w:sz w:val="24"/>
          <w:szCs w:val="24"/>
        </w:rPr>
        <w:t>)</w:t>
      </w:r>
      <w:r w:rsidR="00537FC7">
        <w:rPr>
          <w:rFonts w:ascii="Times New Roman" w:hAnsi="Times New Roman" w:cs="Times New Roman"/>
          <w:sz w:val="24"/>
          <w:szCs w:val="24"/>
        </w:rPr>
        <w:t xml:space="preserve"> </w:t>
      </w:r>
      <w:r w:rsidR="00051645">
        <w:rPr>
          <w:rFonts w:ascii="Times New Roman" w:eastAsia="Times New Roman" w:hAnsi="Times New Roman" w:cs="Times New Roman"/>
          <w:spacing w:val="2"/>
          <w:sz w:val="24"/>
          <w:szCs w:val="24"/>
          <w:shd w:val="clear" w:color="auto" w:fill="FFFFFF"/>
          <w:lang w:eastAsia="zh-CN"/>
        </w:rPr>
        <w:t xml:space="preserve">gautas </w:t>
      </w:r>
      <w:r w:rsidR="00346B6F">
        <w:rPr>
          <w:rFonts w:ascii="Times New Roman" w:eastAsia="Times New Roman" w:hAnsi="Times New Roman" w:cs="Times New Roman"/>
          <w:spacing w:val="2"/>
          <w:sz w:val="24"/>
          <w:szCs w:val="24"/>
          <w:shd w:val="clear" w:color="auto" w:fill="FFFFFF"/>
          <w:lang w:eastAsia="zh-CN"/>
        </w:rPr>
        <w:t>Da</w:t>
      </w:r>
      <w:r w:rsidR="00051645">
        <w:rPr>
          <w:rFonts w:ascii="Times New Roman" w:eastAsia="Times New Roman" w:hAnsi="Times New Roman" w:cs="Times New Roman"/>
          <w:spacing w:val="2"/>
          <w:sz w:val="24"/>
          <w:szCs w:val="24"/>
          <w:shd w:val="clear" w:color="auto" w:fill="FFFFFF"/>
          <w:lang w:eastAsia="zh-CN"/>
        </w:rPr>
        <w:t xml:space="preserve">lyvio prašymas patikslinti / paaiškinti </w:t>
      </w:r>
      <w:r w:rsidR="00F218D2">
        <w:rPr>
          <w:rFonts w:ascii="Times New Roman" w:eastAsia="Times New Roman" w:hAnsi="Times New Roman" w:cs="Times New Roman"/>
          <w:spacing w:val="2"/>
          <w:sz w:val="24"/>
          <w:szCs w:val="24"/>
          <w:shd w:val="clear" w:color="auto" w:fill="FFFFFF"/>
          <w:lang w:eastAsia="zh-CN"/>
        </w:rPr>
        <w:t xml:space="preserve">/ keisti </w:t>
      </w:r>
      <w:r w:rsidR="00051645">
        <w:rPr>
          <w:rFonts w:ascii="Times New Roman" w:eastAsia="Times New Roman" w:hAnsi="Times New Roman" w:cs="Times New Roman"/>
          <w:spacing w:val="2"/>
          <w:sz w:val="24"/>
          <w:szCs w:val="24"/>
          <w:shd w:val="clear" w:color="auto" w:fill="FFFFFF"/>
          <w:lang w:eastAsia="zh-CN"/>
        </w:rPr>
        <w:t>Pir</w:t>
      </w:r>
      <w:r w:rsidR="007324A7">
        <w:rPr>
          <w:rFonts w:ascii="Times New Roman" w:eastAsia="Times New Roman" w:hAnsi="Times New Roman" w:cs="Times New Roman"/>
          <w:spacing w:val="2"/>
          <w:sz w:val="24"/>
          <w:szCs w:val="24"/>
          <w:shd w:val="clear" w:color="auto" w:fill="FFFFFF"/>
          <w:lang w:eastAsia="zh-CN"/>
        </w:rPr>
        <w:t>k</w:t>
      </w:r>
      <w:r w:rsidR="00051645">
        <w:rPr>
          <w:rFonts w:ascii="Times New Roman" w:eastAsia="Times New Roman" w:hAnsi="Times New Roman" w:cs="Times New Roman"/>
          <w:spacing w:val="2"/>
          <w:sz w:val="24"/>
          <w:szCs w:val="24"/>
          <w:shd w:val="clear" w:color="auto" w:fill="FFFFFF"/>
          <w:lang w:eastAsia="zh-CN"/>
        </w:rPr>
        <w:t>imo sąly</w:t>
      </w:r>
      <w:r w:rsidR="007324A7">
        <w:rPr>
          <w:rFonts w:ascii="Times New Roman" w:eastAsia="Times New Roman" w:hAnsi="Times New Roman" w:cs="Times New Roman"/>
          <w:spacing w:val="2"/>
          <w:sz w:val="24"/>
          <w:szCs w:val="24"/>
          <w:shd w:val="clear" w:color="auto" w:fill="FFFFFF"/>
          <w:lang w:eastAsia="zh-CN"/>
        </w:rPr>
        <w:t>gas.</w:t>
      </w:r>
    </w:p>
    <w:p w14:paraId="790179E3" w14:textId="00363C17" w:rsidR="00443BF6" w:rsidRDefault="00947690" w:rsidP="0087021D">
      <w:pPr>
        <w:pStyle w:val="Body2"/>
        <w:spacing w:after="0"/>
        <w:ind w:firstLine="567"/>
        <w:rPr>
          <w:rFonts w:cs="Times New Roman"/>
          <w:sz w:val="24"/>
          <w:szCs w:val="24"/>
          <w:lang w:val="lt-LT" w:eastAsia="ar-SA"/>
        </w:rPr>
      </w:pPr>
      <w:r>
        <w:rPr>
          <w:rFonts w:cs="Times New Roman"/>
          <w:sz w:val="24"/>
          <w:szCs w:val="24"/>
          <w:lang w:val="lt-LT" w:eastAsia="ar-SA"/>
        </w:rPr>
        <w:t>„</w:t>
      </w:r>
      <w:r w:rsidR="006B1961" w:rsidRPr="006B1961">
        <w:rPr>
          <w:rFonts w:cs="Times New Roman"/>
          <w:sz w:val="24"/>
          <w:szCs w:val="24"/>
          <w:lang w:val="lt-LT" w:eastAsia="ar-SA"/>
        </w:rPr>
        <w:t>CPO V</w:t>
      </w:r>
      <w:r w:rsidR="006B1961">
        <w:rPr>
          <w:rFonts w:cs="Times New Roman"/>
          <w:sz w:val="24"/>
          <w:szCs w:val="24"/>
          <w:lang w:val="lt-LT" w:eastAsia="ar-SA"/>
        </w:rPr>
        <w:t>ilnius</w:t>
      </w:r>
      <w:r>
        <w:rPr>
          <w:rFonts w:cs="Times New Roman"/>
          <w:sz w:val="24"/>
          <w:szCs w:val="24"/>
          <w:lang w:val="lt-LT" w:eastAsia="ar-SA"/>
        </w:rPr>
        <w:t>“</w:t>
      </w:r>
      <w:r w:rsidR="006B1961" w:rsidRPr="006B1961">
        <w:rPr>
          <w:rFonts w:cs="Times New Roman"/>
          <w:sz w:val="24"/>
          <w:szCs w:val="24"/>
          <w:lang w:val="lt-LT" w:eastAsia="ar-SA"/>
        </w:rPr>
        <w:t xml:space="preserve"> </w:t>
      </w:r>
      <w:r w:rsidR="00C2370F">
        <w:rPr>
          <w:rFonts w:cs="Times New Roman"/>
          <w:sz w:val="24"/>
          <w:szCs w:val="24"/>
          <w:lang w:val="lt-LT" w:eastAsia="ar-SA"/>
        </w:rPr>
        <w:t>v</w:t>
      </w:r>
      <w:r w:rsidR="00C2370F" w:rsidRPr="00C2370F">
        <w:rPr>
          <w:rFonts w:cs="Times New Roman"/>
          <w:sz w:val="24"/>
          <w:szCs w:val="24"/>
          <w:lang w:val="lt-LT" w:eastAsia="ar-SA"/>
        </w:rPr>
        <w:t>adova</w:t>
      </w:r>
      <w:r w:rsidR="00C2370F">
        <w:rPr>
          <w:rFonts w:cs="Times New Roman"/>
          <w:sz w:val="24"/>
          <w:szCs w:val="24"/>
          <w:lang w:val="lt-LT" w:eastAsia="ar-SA"/>
        </w:rPr>
        <w:t>udamasis</w:t>
      </w:r>
      <w:r w:rsidR="00C2370F" w:rsidRPr="00C2370F">
        <w:rPr>
          <w:rFonts w:cs="Times New Roman"/>
          <w:sz w:val="24"/>
          <w:szCs w:val="24"/>
          <w:lang w:val="lt-LT" w:eastAsia="ar-SA"/>
        </w:rPr>
        <w:t xml:space="preserve"> </w:t>
      </w:r>
      <w:r w:rsidR="00C2370F">
        <w:rPr>
          <w:rFonts w:cs="Times New Roman"/>
          <w:sz w:val="24"/>
          <w:szCs w:val="24"/>
          <w:lang w:val="lt-LT" w:eastAsia="ar-SA"/>
        </w:rPr>
        <w:t>P</w:t>
      </w:r>
      <w:r w:rsidR="00C2370F" w:rsidRPr="00C2370F">
        <w:rPr>
          <w:rFonts w:cs="Times New Roman"/>
          <w:sz w:val="24"/>
          <w:szCs w:val="24"/>
          <w:lang w:val="lt-LT" w:eastAsia="ar-SA"/>
        </w:rPr>
        <w:t>irkimo sąlygose nustatytais reikalavimais ir tvarka, išnagrinėj</w:t>
      </w:r>
      <w:r w:rsidR="00346B6F">
        <w:rPr>
          <w:rFonts w:cs="Times New Roman"/>
          <w:sz w:val="24"/>
          <w:szCs w:val="24"/>
          <w:lang w:val="lt-LT" w:eastAsia="ar-SA"/>
        </w:rPr>
        <w:t>ęs</w:t>
      </w:r>
      <w:r w:rsidR="00C2370F" w:rsidRPr="00C2370F">
        <w:rPr>
          <w:rFonts w:cs="Times New Roman"/>
          <w:sz w:val="24"/>
          <w:szCs w:val="24"/>
          <w:lang w:val="lt-LT" w:eastAsia="ar-SA"/>
        </w:rPr>
        <w:t xml:space="preserve"> CVP IS susirašinėjimo priemonėmis Dalyvio pateiktą prašymą paaiškinti / patikslinti</w:t>
      </w:r>
      <w:r w:rsidR="000D74C4">
        <w:rPr>
          <w:rFonts w:cs="Times New Roman"/>
          <w:sz w:val="24"/>
          <w:szCs w:val="24"/>
          <w:lang w:val="lt-LT" w:eastAsia="ar-SA"/>
        </w:rPr>
        <w:t xml:space="preserve"> / keisti</w:t>
      </w:r>
      <w:r w:rsidR="00C2370F" w:rsidRPr="00C2370F">
        <w:rPr>
          <w:rFonts w:cs="Times New Roman"/>
          <w:sz w:val="24"/>
          <w:szCs w:val="24"/>
          <w:lang w:val="lt-LT" w:eastAsia="ar-SA"/>
        </w:rPr>
        <w:t xml:space="preserve"> pirkimo dokumentus, </w:t>
      </w:r>
      <w:r w:rsidR="00346B6F">
        <w:rPr>
          <w:rFonts w:cs="Times New Roman"/>
          <w:sz w:val="24"/>
          <w:szCs w:val="24"/>
          <w:lang w:val="lt-LT" w:eastAsia="ar-SA"/>
        </w:rPr>
        <w:t>teikia</w:t>
      </w:r>
      <w:r w:rsidR="00C2370F" w:rsidRPr="00C2370F">
        <w:rPr>
          <w:rFonts w:cs="Times New Roman"/>
          <w:sz w:val="24"/>
          <w:szCs w:val="24"/>
          <w:lang w:val="lt-LT" w:eastAsia="ar-SA"/>
        </w:rPr>
        <w:t xml:space="preserve"> </w:t>
      </w:r>
      <w:r w:rsidR="00346B6F">
        <w:rPr>
          <w:rFonts w:cs="Times New Roman"/>
          <w:sz w:val="24"/>
          <w:szCs w:val="24"/>
          <w:lang w:val="lt-LT" w:eastAsia="ar-SA"/>
        </w:rPr>
        <w:t>atsakymus</w:t>
      </w:r>
      <w:r w:rsidR="00C2370F" w:rsidRPr="00C2370F">
        <w:rPr>
          <w:rFonts w:cs="Times New Roman"/>
          <w:sz w:val="24"/>
          <w:szCs w:val="24"/>
          <w:lang w:val="lt-LT" w:eastAsia="ar-SA"/>
        </w:rPr>
        <w:t>:</w:t>
      </w:r>
    </w:p>
    <w:tbl>
      <w:tblPr>
        <w:tblStyle w:val="Lentelstinklelis"/>
        <w:tblW w:w="10060" w:type="dxa"/>
        <w:tblLayout w:type="fixed"/>
        <w:tblLook w:val="04A0" w:firstRow="1" w:lastRow="0" w:firstColumn="1" w:lastColumn="0" w:noHBand="0" w:noVBand="1"/>
      </w:tblPr>
      <w:tblGrid>
        <w:gridCol w:w="570"/>
        <w:gridCol w:w="4670"/>
        <w:gridCol w:w="4820"/>
      </w:tblGrid>
      <w:tr w:rsidR="00EC5C6D" w:rsidRPr="00EC5C6D" w14:paraId="5D6D2D3A" w14:textId="77777777" w:rsidTr="00D03309">
        <w:tc>
          <w:tcPr>
            <w:tcW w:w="570" w:type="dxa"/>
            <w:vAlign w:val="center"/>
          </w:tcPr>
          <w:p w14:paraId="63F4597F" w14:textId="77777777" w:rsidR="00EC5C6D" w:rsidRPr="00EC5C6D" w:rsidRDefault="00EC5C6D" w:rsidP="00B612F3">
            <w:pPr>
              <w:jc w:val="center"/>
              <w:rPr>
                <w:rStyle w:val="Style29"/>
                <w:b/>
                <w:bCs/>
                <w:szCs w:val="24"/>
              </w:rPr>
            </w:pPr>
            <w:r w:rsidRPr="00EC5C6D">
              <w:rPr>
                <w:rStyle w:val="Style29"/>
                <w:b/>
                <w:bCs/>
                <w:szCs w:val="24"/>
              </w:rPr>
              <w:t>Eil. Nr.</w:t>
            </w:r>
          </w:p>
        </w:tc>
        <w:tc>
          <w:tcPr>
            <w:tcW w:w="4670" w:type="dxa"/>
            <w:vAlign w:val="center"/>
          </w:tcPr>
          <w:p w14:paraId="301A39AD" w14:textId="77777777" w:rsidR="00EC5C6D" w:rsidRPr="00EC5C6D" w:rsidRDefault="00EC5C6D" w:rsidP="00B612F3">
            <w:pPr>
              <w:jc w:val="center"/>
              <w:rPr>
                <w:rStyle w:val="Style29"/>
                <w:b/>
                <w:bCs/>
                <w:szCs w:val="24"/>
              </w:rPr>
            </w:pPr>
            <w:r w:rsidRPr="00EC5C6D">
              <w:rPr>
                <w:rStyle w:val="Style29"/>
                <w:b/>
                <w:bCs/>
                <w:szCs w:val="24"/>
              </w:rPr>
              <w:t>Klausimas*</w:t>
            </w:r>
          </w:p>
        </w:tc>
        <w:tc>
          <w:tcPr>
            <w:tcW w:w="4820" w:type="dxa"/>
            <w:vAlign w:val="center"/>
          </w:tcPr>
          <w:p w14:paraId="792361D5" w14:textId="77777777" w:rsidR="00EC5C6D" w:rsidRPr="00EC5C6D" w:rsidRDefault="00EC5C6D" w:rsidP="00B612F3">
            <w:pPr>
              <w:jc w:val="center"/>
              <w:rPr>
                <w:rStyle w:val="Style29"/>
                <w:b/>
                <w:bCs/>
                <w:szCs w:val="24"/>
              </w:rPr>
            </w:pPr>
            <w:r w:rsidRPr="00EC5C6D">
              <w:rPr>
                <w:rStyle w:val="Style29"/>
                <w:b/>
                <w:bCs/>
                <w:szCs w:val="24"/>
              </w:rPr>
              <w:t>Atsakymas**</w:t>
            </w:r>
          </w:p>
        </w:tc>
      </w:tr>
      <w:tr w:rsidR="00EC5C6D" w:rsidRPr="00EC5C6D" w14:paraId="03CB1E05" w14:textId="77777777" w:rsidTr="00D03309">
        <w:tc>
          <w:tcPr>
            <w:tcW w:w="570" w:type="dxa"/>
            <w:vAlign w:val="center"/>
          </w:tcPr>
          <w:p w14:paraId="406CE5DC" w14:textId="77777777" w:rsidR="00EC5C6D" w:rsidRPr="00EC5C6D" w:rsidRDefault="00EC5C6D" w:rsidP="00B612F3">
            <w:pPr>
              <w:jc w:val="center"/>
              <w:rPr>
                <w:rStyle w:val="Style29"/>
                <w:szCs w:val="24"/>
              </w:rPr>
            </w:pPr>
            <w:r w:rsidRPr="00EC5C6D">
              <w:rPr>
                <w:rStyle w:val="Style29"/>
                <w:szCs w:val="24"/>
              </w:rPr>
              <w:t>1.</w:t>
            </w:r>
          </w:p>
        </w:tc>
        <w:tc>
          <w:tcPr>
            <w:tcW w:w="4670" w:type="dxa"/>
          </w:tcPr>
          <w:p w14:paraId="624835C7" w14:textId="3B0443AB"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NVSC parengtose  „Paviršių valymo gairėse“  nurodoma: „dalis </w:t>
            </w:r>
            <w:proofErr w:type="spellStart"/>
            <w:r w:rsidRPr="00D40905">
              <w:rPr>
                <w:rFonts w:ascii="Times New Roman" w:eastAsia="Times New Roman" w:hAnsi="Times New Roman" w:cs="Times New Roman"/>
                <w:color w:val="000000"/>
                <w:sz w:val="24"/>
                <w:szCs w:val="24"/>
                <w:lang w:eastAsia="lt-LT"/>
              </w:rPr>
              <w:t>dezinfekantų</w:t>
            </w:r>
            <w:proofErr w:type="spellEnd"/>
            <w:r w:rsidRPr="00D40905">
              <w:rPr>
                <w:rFonts w:ascii="Times New Roman" w:eastAsia="Times New Roman" w:hAnsi="Times New Roman" w:cs="Times New Roman"/>
                <w:color w:val="000000"/>
                <w:sz w:val="24"/>
                <w:szCs w:val="24"/>
                <w:lang w:eastAsia="lt-LT"/>
              </w:rPr>
              <w:t xml:space="preserve"> pasižymi tik labai greitu ar greitu momentiniu (ekspozicija iki 1–5 min.) poveikiu. Po ekspozicijos, išgaravus veikliajai medžiagai, paviršius lieka niekaip neapsaugotas nuo naujo užteršimo. </w:t>
            </w:r>
          </w:p>
          <w:p w14:paraId="0743FD65"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Kita dalis </w:t>
            </w:r>
            <w:proofErr w:type="spellStart"/>
            <w:r w:rsidRPr="00D40905">
              <w:rPr>
                <w:rFonts w:ascii="Times New Roman" w:eastAsia="Times New Roman" w:hAnsi="Times New Roman" w:cs="Times New Roman"/>
                <w:color w:val="000000"/>
                <w:sz w:val="24"/>
                <w:szCs w:val="24"/>
                <w:lang w:eastAsia="lt-LT"/>
              </w:rPr>
              <w:t>dezinfekantų</w:t>
            </w:r>
            <w:proofErr w:type="spellEnd"/>
            <w:r w:rsidRPr="00D40905">
              <w:rPr>
                <w:rFonts w:ascii="Times New Roman" w:eastAsia="Times New Roman" w:hAnsi="Times New Roman" w:cs="Times New Roman"/>
                <w:color w:val="000000"/>
                <w:sz w:val="24"/>
                <w:szCs w:val="24"/>
                <w:lang w:eastAsia="lt-LT"/>
              </w:rPr>
              <w:t xml:space="preserve"> pasižymi kiek ilgesniu momentiniu (iki 15 min.) poveikiu ir liekamuoju poveikiu. Išgaravus tirpikliui (dažniausiai – vandeniui) veiklioji medžiaga lieka ant paviršiaus ir dar kurį laiką jį apsaugo.“</w:t>
            </w:r>
          </w:p>
          <w:p w14:paraId="565CC6F5" w14:textId="77777777" w:rsidR="00C50D35" w:rsidRPr="00D40905" w:rsidRDefault="00C50D35" w:rsidP="00C50D35">
            <w:pPr>
              <w:ind w:left="57" w:right="57"/>
              <w:jc w:val="both"/>
              <w:rPr>
                <w:rFonts w:ascii="Times New Roman" w:eastAsia="Times New Roman" w:hAnsi="Times New Roman" w:cs="Times New Roman"/>
                <w:color w:val="000000"/>
                <w:sz w:val="24"/>
                <w:szCs w:val="24"/>
                <w:u w:val="single"/>
                <w:lang w:eastAsia="lt-LT"/>
              </w:rPr>
            </w:pPr>
            <w:r w:rsidRPr="00D40905">
              <w:rPr>
                <w:rFonts w:ascii="Times New Roman" w:eastAsia="Times New Roman" w:hAnsi="Times New Roman" w:cs="Times New Roman"/>
                <w:color w:val="000000"/>
                <w:sz w:val="24"/>
                <w:szCs w:val="24"/>
                <w:u w:val="single"/>
                <w:lang w:eastAsia="lt-LT"/>
              </w:rPr>
              <w:t xml:space="preserve">Remiantis NVSC išaiškinimu labai greito ir greito poveikio ekspozicijos laikas yra iki 5min. </w:t>
            </w:r>
          </w:p>
          <w:p w14:paraId="404998D8"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Techninėje specifikacijoje  nurodyta:</w:t>
            </w:r>
          </w:p>
          <w:p w14:paraId="62796943"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16.1.3. Ekspozicija: greitai veikiantis (iki 60 s). </w:t>
            </w:r>
          </w:p>
          <w:p w14:paraId="66C82487"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16.1.3.1. Ekspozicija: baktericidinis (pagal EN13727) – ne daugiau 1 min.;</w:t>
            </w:r>
          </w:p>
          <w:p w14:paraId="272E2C2E"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16.1.3.2. </w:t>
            </w:r>
            <w:proofErr w:type="spellStart"/>
            <w:r w:rsidRPr="00D40905">
              <w:rPr>
                <w:rFonts w:ascii="Times New Roman" w:eastAsia="Times New Roman" w:hAnsi="Times New Roman" w:cs="Times New Roman"/>
                <w:color w:val="000000"/>
                <w:sz w:val="24"/>
                <w:szCs w:val="24"/>
                <w:lang w:eastAsia="lt-LT"/>
              </w:rPr>
              <w:t>tuberkulocidinis</w:t>
            </w:r>
            <w:proofErr w:type="spellEnd"/>
            <w:r w:rsidRPr="00D40905">
              <w:rPr>
                <w:rFonts w:ascii="Times New Roman" w:eastAsia="Times New Roman" w:hAnsi="Times New Roman" w:cs="Times New Roman"/>
                <w:color w:val="000000"/>
                <w:sz w:val="24"/>
                <w:szCs w:val="24"/>
                <w:lang w:eastAsia="lt-LT"/>
              </w:rPr>
              <w:t xml:space="preserve"> (pagal EN 14348)– ne daugiau 1 min.; </w:t>
            </w:r>
          </w:p>
          <w:p w14:paraId="3161B216"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16.1.3.3. </w:t>
            </w:r>
            <w:proofErr w:type="spellStart"/>
            <w:r w:rsidRPr="00D40905">
              <w:rPr>
                <w:rFonts w:ascii="Times New Roman" w:eastAsia="Times New Roman" w:hAnsi="Times New Roman" w:cs="Times New Roman"/>
                <w:color w:val="000000"/>
                <w:sz w:val="24"/>
                <w:szCs w:val="24"/>
                <w:lang w:eastAsia="lt-LT"/>
              </w:rPr>
              <w:t>mielicidinis</w:t>
            </w:r>
            <w:proofErr w:type="spellEnd"/>
            <w:r w:rsidRPr="00D40905">
              <w:rPr>
                <w:rFonts w:ascii="Times New Roman" w:eastAsia="Times New Roman" w:hAnsi="Times New Roman" w:cs="Times New Roman"/>
                <w:color w:val="000000"/>
                <w:sz w:val="24"/>
                <w:szCs w:val="24"/>
                <w:lang w:eastAsia="lt-LT"/>
              </w:rPr>
              <w:t xml:space="preserve"> (</w:t>
            </w:r>
            <w:proofErr w:type="spellStart"/>
            <w:r w:rsidRPr="00D40905">
              <w:rPr>
                <w:rFonts w:ascii="Times New Roman" w:eastAsia="Times New Roman" w:hAnsi="Times New Roman" w:cs="Times New Roman"/>
                <w:color w:val="000000"/>
                <w:sz w:val="24"/>
                <w:szCs w:val="24"/>
                <w:lang w:eastAsia="lt-LT"/>
              </w:rPr>
              <w:t>levurocidinis</w:t>
            </w:r>
            <w:proofErr w:type="spellEnd"/>
            <w:r w:rsidRPr="00D40905">
              <w:rPr>
                <w:rFonts w:ascii="Times New Roman" w:eastAsia="Times New Roman" w:hAnsi="Times New Roman" w:cs="Times New Roman"/>
                <w:color w:val="000000"/>
                <w:sz w:val="24"/>
                <w:szCs w:val="24"/>
                <w:lang w:eastAsia="lt-LT"/>
              </w:rPr>
              <w:t>) (pagal EN13624) – ne daugiau 1 min.;</w:t>
            </w:r>
          </w:p>
          <w:p w14:paraId="0BF9B383"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16.1.3.4. </w:t>
            </w:r>
            <w:proofErr w:type="spellStart"/>
            <w:r w:rsidRPr="00D40905">
              <w:rPr>
                <w:rFonts w:ascii="Times New Roman" w:eastAsia="Times New Roman" w:hAnsi="Times New Roman" w:cs="Times New Roman"/>
                <w:color w:val="000000"/>
                <w:sz w:val="24"/>
                <w:szCs w:val="24"/>
                <w:lang w:eastAsia="lt-LT"/>
              </w:rPr>
              <w:t>virucidinis</w:t>
            </w:r>
            <w:proofErr w:type="spellEnd"/>
            <w:r w:rsidRPr="00D40905">
              <w:rPr>
                <w:rFonts w:ascii="Times New Roman" w:eastAsia="Times New Roman" w:hAnsi="Times New Roman" w:cs="Times New Roman"/>
                <w:color w:val="000000"/>
                <w:sz w:val="24"/>
                <w:szCs w:val="24"/>
                <w:lang w:eastAsia="lt-LT"/>
              </w:rPr>
              <w:t xml:space="preserve"> (virusai su apvalkalu) – ne daugiau 30 sek.; </w:t>
            </w:r>
          </w:p>
          <w:p w14:paraId="056860F1"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16.1.3.5. Noro virusas (pagal EN 14476) – ne daugiau 1 min. </w:t>
            </w:r>
          </w:p>
          <w:p w14:paraId="105BA172"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p>
          <w:p w14:paraId="264D461E"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lastRenderedPageBreak/>
              <w:t xml:space="preserve">Reikalavimuose nurodyti tikslūs ekspozicijos laikai, neatitinkantys nustatytų greitos dezinfekcijos ekspozicijos laikų, kas suponuoja išvadą, kad jie pritaikyti konkrečiam produktui ir yra pertekliniai.  Net ir esant dideliems pacientų srautams, dezinfekcijai tikrai yra galimas iki 5min. ekspozicijos laikas. </w:t>
            </w:r>
          </w:p>
          <w:p w14:paraId="7D87AD1C"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Nėra tikslinga nurodyti kiekvienam mikroorganizmui poveikio laiko, nes priemonė ant paviršiaus naikina esančius ant paviršių. Tikslinga nurodyti vieną poveikio laiką, per kurį būtų sunaikinti visi išvardinti mikroorganizmai. </w:t>
            </w:r>
          </w:p>
          <w:p w14:paraId="5908FE8F"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p>
          <w:p w14:paraId="491AA9A9"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Prašome atsižvelgti į argumentus ir reikalavimą išdėstyti taip: </w:t>
            </w:r>
          </w:p>
          <w:p w14:paraId="1EEB9FF3" w14:textId="77777777" w:rsidR="00C50D35" w:rsidRPr="00D40905" w:rsidRDefault="00C50D35" w:rsidP="00C50D35">
            <w:pPr>
              <w:ind w:left="57" w:right="57"/>
              <w:jc w:val="both"/>
              <w:rPr>
                <w:rFonts w:ascii="Times New Roman" w:eastAsia="Times New Roman" w:hAnsi="Times New Roman" w:cs="Times New Roman"/>
                <w:color w:val="000000"/>
                <w:sz w:val="24"/>
                <w:szCs w:val="24"/>
                <w:lang w:eastAsia="lt-LT"/>
              </w:rPr>
            </w:pPr>
            <w:r w:rsidRPr="00D40905">
              <w:rPr>
                <w:rFonts w:ascii="Times New Roman" w:eastAsia="Times New Roman" w:hAnsi="Times New Roman" w:cs="Times New Roman"/>
                <w:color w:val="000000"/>
                <w:sz w:val="24"/>
                <w:szCs w:val="24"/>
                <w:lang w:eastAsia="lt-LT"/>
              </w:rPr>
              <w:t xml:space="preserve">16.1.3. Ekspozicija: greitai veikiantis (iki 5min).  Poveikis: baktericidinis (pagal EN13727), </w:t>
            </w:r>
            <w:proofErr w:type="spellStart"/>
            <w:r w:rsidRPr="00D40905">
              <w:rPr>
                <w:rFonts w:ascii="Times New Roman" w:eastAsia="Times New Roman" w:hAnsi="Times New Roman" w:cs="Times New Roman"/>
                <w:color w:val="000000"/>
                <w:sz w:val="24"/>
                <w:szCs w:val="24"/>
                <w:lang w:eastAsia="lt-LT"/>
              </w:rPr>
              <w:t>tuberkulocidinis</w:t>
            </w:r>
            <w:proofErr w:type="spellEnd"/>
            <w:r w:rsidRPr="00D40905">
              <w:rPr>
                <w:rFonts w:ascii="Times New Roman" w:eastAsia="Times New Roman" w:hAnsi="Times New Roman" w:cs="Times New Roman"/>
                <w:color w:val="000000"/>
                <w:sz w:val="24"/>
                <w:szCs w:val="24"/>
                <w:lang w:eastAsia="lt-LT"/>
              </w:rPr>
              <w:t xml:space="preserve"> (pagal EN 14348), </w:t>
            </w:r>
            <w:proofErr w:type="spellStart"/>
            <w:r w:rsidRPr="00D40905">
              <w:rPr>
                <w:rFonts w:ascii="Times New Roman" w:eastAsia="Times New Roman" w:hAnsi="Times New Roman" w:cs="Times New Roman"/>
                <w:color w:val="000000"/>
                <w:sz w:val="24"/>
                <w:szCs w:val="24"/>
                <w:lang w:eastAsia="lt-LT"/>
              </w:rPr>
              <w:t>mielicidinis</w:t>
            </w:r>
            <w:proofErr w:type="spellEnd"/>
            <w:r w:rsidRPr="00D40905">
              <w:rPr>
                <w:rFonts w:ascii="Times New Roman" w:eastAsia="Times New Roman" w:hAnsi="Times New Roman" w:cs="Times New Roman"/>
                <w:color w:val="000000"/>
                <w:sz w:val="24"/>
                <w:szCs w:val="24"/>
                <w:lang w:eastAsia="lt-LT"/>
              </w:rPr>
              <w:t xml:space="preserve"> (</w:t>
            </w:r>
            <w:proofErr w:type="spellStart"/>
            <w:r w:rsidRPr="00D40905">
              <w:rPr>
                <w:rFonts w:ascii="Times New Roman" w:eastAsia="Times New Roman" w:hAnsi="Times New Roman" w:cs="Times New Roman"/>
                <w:color w:val="000000"/>
                <w:sz w:val="24"/>
                <w:szCs w:val="24"/>
                <w:lang w:eastAsia="lt-LT"/>
              </w:rPr>
              <w:t>levurocidinis</w:t>
            </w:r>
            <w:proofErr w:type="spellEnd"/>
            <w:r w:rsidRPr="00D40905">
              <w:rPr>
                <w:rFonts w:ascii="Times New Roman" w:eastAsia="Times New Roman" w:hAnsi="Times New Roman" w:cs="Times New Roman"/>
                <w:color w:val="000000"/>
                <w:sz w:val="24"/>
                <w:szCs w:val="24"/>
                <w:lang w:eastAsia="lt-LT"/>
              </w:rPr>
              <w:t xml:space="preserve">) (pagal EN13624), </w:t>
            </w:r>
            <w:proofErr w:type="spellStart"/>
            <w:r w:rsidRPr="00D40905">
              <w:rPr>
                <w:rFonts w:ascii="Times New Roman" w:eastAsia="Times New Roman" w:hAnsi="Times New Roman" w:cs="Times New Roman"/>
                <w:color w:val="000000"/>
                <w:sz w:val="24"/>
                <w:szCs w:val="24"/>
                <w:lang w:eastAsia="lt-LT"/>
              </w:rPr>
              <w:t>virucidinis</w:t>
            </w:r>
            <w:proofErr w:type="spellEnd"/>
            <w:r w:rsidRPr="00D40905">
              <w:rPr>
                <w:rFonts w:ascii="Times New Roman" w:eastAsia="Times New Roman" w:hAnsi="Times New Roman" w:cs="Times New Roman"/>
                <w:color w:val="000000"/>
                <w:sz w:val="24"/>
                <w:szCs w:val="24"/>
                <w:lang w:eastAsia="lt-LT"/>
              </w:rPr>
              <w:t xml:space="preserve"> (virusai su apvalkalu), Noro virusas (pagal EN 14476).</w:t>
            </w:r>
          </w:p>
          <w:p w14:paraId="1A9444FA" w14:textId="4F85FD03" w:rsidR="00EC5C6D" w:rsidRPr="00EC5C6D" w:rsidRDefault="00EC5C6D" w:rsidP="00D7478A">
            <w:pPr>
              <w:jc w:val="both"/>
              <w:rPr>
                <w:rStyle w:val="Style29"/>
                <w:szCs w:val="24"/>
              </w:rPr>
            </w:pPr>
          </w:p>
        </w:tc>
        <w:tc>
          <w:tcPr>
            <w:tcW w:w="4820" w:type="dxa"/>
          </w:tcPr>
          <w:p w14:paraId="329806F7" w14:textId="4FD14F29" w:rsidR="008D5A23" w:rsidRDefault="00D03309" w:rsidP="00D033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Tiekėjo nurodyta informacija yra NVSC </w:t>
            </w:r>
            <w:r w:rsidRPr="00C51F04">
              <w:rPr>
                <w:rFonts w:ascii="Times New Roman" w:eastAsia="Times New Roman" w:hAnsi="Times New Roman" w:cs="Times New Roman"/>
                <w:sz w:val="24"/>
                <w:szCs w:val="24"/>
                <w:u w:val="single"/>
              </w:rPr>
              <w:t>rekomendacinio pobūdžio</w:t>
            </w:r>
            <w:r>
              <w:rPr>
                <w:rFonts w:ascii="Times New Roman" w:eastAsia="Times New Roman" w:hAnsi="Times New Roman" w:cs="Times New Roman"/>
                <w:sz w:val="24"/>
                <w:szCs w:val="24"/>
              </w:rPr>
              <w:t>, kuri buvo aktuali 2020 m. COVID-19 pandemijos pradžioje. Tai nėra teisės aktų reikalavimai, o rekomendacijos asmens sveikatos priežiūros įstaigoms padedant pasirinkti tinkamas greito poveikio dezinfekcijos priemones skirtas sumažinti COVID-19 viruso plitimą (</w:t>
            </w:r>
            <w:proofErr w:type="spellStart"/>
            <w:r>
              <w:rPr>
                <w:rFonts w:ascii="Times New Roman" w:eastAsia="Times New Roman" w:hAnsi="Times New Roman" w:cs="Times New Roman"/>
                <w:sz w:val="24"/>
                <w:szCs w:val="24"/>
              </w:rPr>
              <w:t>nuroda</w:t>
            </w:r>
            <w:proofErr w:type="spellEnd"/>
            <w:r>
              <w:rPr>
                <w:rFonts w:ascii="Times New Roman" w:eastAsia="Times New Roman" w:hAnsi="Times New Roman" w:cs="Times New Roman"/>
                <w:sz w:val="24"/>
                <w:szCs w:val="24"/>
              </w:rPr>
              <w:t xml:space="preserve">: </w:t>
            </w:r>
            <w:hyperlink r:id="rId12" w:history="1">
              <w:r w:rsidRPr="00DB4F3A">
                <w:rPr>
                  <w:rStyle w:val="Hipersaitas"/>
                  <w:rFonts w:ascii="Times New Roman" w:eastAsia="Times New Roman" w:hAnsi="Times New Roman" w:cs="Times New Roman"/>
                  <w:sz w:val="24"/>
                  <w:szCs w:val="24"/>
                </w:rPr>
                <w:t>https://nvsc.lrv.lt/uploads/nvsc/documents/files/Pavirsiu%20dezinfekcijos%20rekomendacijos_NVSC_%202-1.pdf</w:t>
              </w:r>
            </w:hyperlink>
            <w:r>
              <w:rPr>
                <w:rFonts w:ascii="Times New Roman" w:eastAsia="Times New Roman" w:hAnsi="Times New Roman" w:cs="Times New Roman"/>
                <w:sz w:val="24"/>
                <w:szCs w:val="24"/>
              </w:rPr>
              <w:t xml:space="preserve">). Greita dezinfekcija skirstoma į momentinę ir liekamąją. </w:t>
            </w:r>
            <w:r w:rsidRPr="006D7EC6">
              <w:rPr>
                <w:rFonts w:ascii="Times New Roman" w:eastAsia="Times New Roman" w:hAnsi="Times New Roman" w:cs="Times New Roman"/>
                <w:b/>
                <w:bCs/>
                <w:sz w:val="24"/>
                <w:szCs w:val="24"/>
              </w:rPr>
              <w:t>PO reikalinga momentinė paviršių dezinfekcija (ekspozicija iki 60 s) atsižvelgiant į pacientų srautus.</w:t>
            </w:r>
            <w:r>
              <w:rPr>
                <w:rFonts w:ascii="Times New Roman" w:eastAsia="Times New Roman" w:hAnsi="Times New Roman" w:cs="Times New Roman"/>
                <w:sz w:val="24"/>
                <w:szCs w:val="24"/>
              </w:rPr>
              <w:t xml:space="preserve"> Taip pat PO atliko rinkos konsultaciją, kurios metu nustatyta, kad trys tiekėjai gali pasiūlyti greitos dezinfekcijos priemones, kurių ekspozicija iki 60 s. Todėl nėra ribojama tiekėjų konkurencija ir/ar sudarytos sąlygos tik vienam tiekėjui. </w:t>
            </w:r>
          </w:p>
          <w:p w14:paraId="53292E17" w14:textId="77777777" w:rsidR="00954371" w:rsidRDefault="00954371" w:rsidP="00D03309">
            <w:pPr>
              <w:jc w:val="both"/>
              <w:rPr>
                <w:rFonts w:ascii="Times New Roman" w:eastAsia="Times New Roman" w:hAnsi="Times New Roman" w:cs="Times New Roman"/>
                <w:sz w:val="24"/>
                <w:szCs w:val="24"/>
              </w:rPr>
            </w:pPr>
          </w:p>
          <w:p w14:paraId="654ADB47" w14:textId="75BEFE96" w:rsidR="00954371" w:rsidRPr="00F91EDE" w:rsidRDefault="00954371" w:rsidP="00D03309">
            <w:pPr>
              <w:jc w:val="both"/>
              <w:rPr>
                <w:rStyle w:val="Style29"/>
                <w:rFonts w:cs="Times New Roman"/>
                <w:szCs w:val="24"/>
              </w:rPr>
            </w:pPr>
            <w:r w:rsidRPr="00F91EDE">
              <w:rPr>
                <w:rFonts w:ascii="Times New Roman" w:eastAsia="Times New Roman" w:hAnsi="Times New Roman" w:cs="Times New Roman"/>
                <w:sz w:val="24"/>
                <w:szCs w:val="24"/>
              </w:rPr>
              <w:t xml:space="preserve">Informuojame, kad techninės specifikacijos </w:t>
            </w:r>
            <w:r w:rsidR="00F91EDE" w:rsidRPr="00F91EDE">
              <w:rPr>
                <w:rFonts w:ascii="Times New Roman" w:eastAsia="Times New Roman" w:hAnsi="Times New Roman" w:cs="Times New Roman"/>
                <w:b/>
                <w:bCs/>
                <w:sz w:val="24"/>
                <w:szCs w:val="24"/>
              </w:rPr>
              <w:t>16 pirkimo dalies reikalavimai nebus keičiami</w:t>
            </w:r>
            <w:r w:rsidR="00F91EDE" w:rsidRPr="00F91EDE">
              <w:rPr>
                <w:rFonts w:ascii="Times New Roman" w:eastAsia="Times New Roman" w:hAnsi="Times New Roman" w:cs="Times New Roman"/>
                <w:sz w:val="24"/>
                <w:szCs w:val="24"/>
              </w:rPr>
              <w:t>.</w:t>
            </w:r>
          </w:p>
        </w:tc>
      </w:tr>
      <w:tr w:rsidR="00F91EDE" w:rsidRPr="00EC5C6D" w14:paraId="5EECF062" w14:textId="77777777" w:rsidTr="00D03309">
        <w:tc>
          <w:tcPr>
            <w:tcW w:w="570" w:type="dxa"/>
            <w:vAlign w:val="center"/>
          </w:tcPr>
          <w:p w14:paraId="4DFC7556" w14:textId="6F092C78" w:rsidR="00F91EDE" w:rsidRPr="00EC5C6D" w:rsidRDefault="00133A61" w:rsidP="00B612F3">
            <w:pPr>
              <w:jc w:val="center"/>
              <w:rPr>
                <w:rStyle w:val="Style29"/>
                <w:szCs w:val="24"/>
              </w:rPr>
            </w:pPr>
            <w:r>
              <w:rPr>
                <w:rStyle w:val="Style29"/>
                <w:szCs w:val="24"/>
              </w:rPr>
              <w:t>2.</w:t>
            </w:r>
          </w:p>
        </w:tc>
        <w:tc>
          <w:tcPr>
            <w:tcW w:w="4670" w:type="dxa"/>
          </w:tcPr>
          <w:p w14:paraId="111FED0A" w14:textId="77777777" w:rsidR="00133A61" w:rsidRPr="00D27EC0" w:rsidRDefault="00133A61" w:rsidP="00133A61">
            <w:pPr>
              <w:ind w:left="57" w:right="57"/>
              <w:jc w:val="both"/>
              <w:rPr>
                <w:rFonts w:ascii="Times New Roman" w:eastAsia="Times New Roman" w:hAnsi="Times New Roman" w:cs="Times New Roman"/>
                <w:color w:val="000000"/>
                <w:sz w:val="24"/>
                <w:szCs w:val="24"/>
                <w:lang w:eastAsia="lt-LT"/>
              </w:rPr>
            </w:pPr>
            <w:r w:rsidRPr="00D27EC0">
              <w:rPr>
                <w:rFonts w:ascii="Times New Roman" w:eastAsia="Times New Roman" w:hAnsi="Times New Roman" w:cs="Times New Roman"/>
                <w:color w:val="000000"/>
                <w:sz w:val="24"/>
                <w:szCs w:val="24"/>
                <w:lang w:eastAsia="lt-LT"/>
              </w:rPr>
              <w:t>Koncentruota priemonė paviršių, medicininių įrenginių valymui  ir dezinfekcijai.</w:t>
            </w:r>
          </w:p>
          <w:p w14:paraId="10D54225" w14:textId="77777777" w:rsidR="00133A61" w:rsidRPr="00D27EC0" w:rsidRDefault="00133A61" w:rsidP="00133A61">
            <w:pPr>
              <w:ind w:left="57" w:right="57"/>
              <w:jc w:val="both"/>
              <w:rPr>
                <w:rFonts w:ascii="Times New Roman" w:eastAsia="Times New Roman" w:hAnsi="Times New Roman" w:cs="Times New Roman"/>
                <w:color w:val="000000"/>
                <w:sz w:val="24"/>
                <w:szCs w:val="24"/>
                <w:lang w:eastAsia="lt-LT"/>
              </w:rPr>
            </w:pPr>
            <w:r w:rsidRPr="00D27EC0">
              <w:rPr>
                <w:rFonts w:ascii="Times New Roman" w:eastAsia="Times New Roman" w:hAnsi="Times New Roman" w:cs="Times New Roman"/>
                <w:color w:val="000000"/>
                <w:sz w:val="24"/>
                <w:szCs w:val="24"/>
                <w:lang w:eastAsia="lt-LT"/>
              </w:rPr>
              <w:t xml:space="preserve">Priemonė pasižymi baktericidiniu, </w:t>
            </w:r>
            <w:proofErr w:type="spellStart"/>
            <w:r w:rsidRPr="00D27EC0">
              <w:rPr>
                <w:rFonts w:ascii="Times New Roman" w:eastAsia="Times New Roman" w:hAnsi="Times New Roman" w:cs="Times New Roman"/>
                <w:color w:val="000000"/>
                <w:sz w:val="24"/>
                <w:szCs w:val="24"/>
                <w:lang w:eastAsia="lt-LT"/>
              </w:rPr>
              <w:t>mielicidiniu</w:t>
            </w:r>
            <w:proofErr w:type="spellEnd"/>
            <w:r w:rsidRPr="00D27EC0">
              <w:rPr>
                <w:rFonts w:ascii="Times New Roman" w:eastAsia="Times New Roman" w:hAnsi="Times New Roman" w:cs="Times New Roman"/>
                <w:color w:val="000000"/>
                <w:sz w:val="24"/>
                <w:szCs w:val="24"/>
                <w:lang w:eastAsia="lt-LT"/>
              </w:rPr>
              <w:t xml:space="preserve"> (EN 13697, EN 13727, EN 13624, EN 16615).</w:t>
            </w:r>
          </w:p>
          <w:p w14:paraId="6057510B" w14:textId="77777777" w:rsidR="00133A61" w:rsidRPr="00D27EC0" w:rsidRDefault="00133A61" w:rsidP="00133A61">
            <w:pPr>
              <w:ind w:left="57" w:right="57"/>
              <w:jc w:val="both"/>
              <w:rPr>
                <w:rFonts w:ascii="Times New Roman" w:eastAsia="Times New Roman" w:hAnsi="Times New Roman" w:cs="Times New Roman"/>
                <w:color w:val="000000"/>
                <w:sz w:val="24"/>
                <w:szCs w:val="24"/>
                <w:lang w:eastAsia="lt-LT"/>
              </w:rPr>
            </w:pPr>
            <w:r w:rsidRPr="00D27EC0">
              <w:rPr>
                <w:rFonts w:ascii="Times New Roman" w:eastAsia="Times New Roman" w:hAnsi="Times New Roman" w:cs="Times New Roman"/>
                <w:color w:val="000000"/>
                <w:sz w:val="24"/>
                <w:szCs w:val="24"/>
                <w:lang w:eastAsia="lt-LT"/>
              </w:rPr>
              <w:t xml:space="preserve">Priemonė skirta naudojimui sveikatos priežiūros įstaigoje. Standartas EN 13697 nėra skirtas  medicinos sričiai. </w:t>
            </w:r>
          </w:p>
          <w:p w14:paraId="10CCF767" w14:textId="77777777" w:rsidR="00133A61" w:rsidRPr="00D27EC0" w:rsidRDefault="00133A61" w:rsidP="00133A61">
            <w:pPr>
              <w:ind w:left="57" w:right="57"/>
              <w:jc w:val="both"/>
              <w:rPr>
                <w:rFonts w:ascii="Times New Roman" w:eastAsia="Times New Roman" w:hAnsi="Times New Roman" w:cs="Times New Roman"/>
                <w:color w:val="000000"/>
                <w:sz w:val="24"/>
                <w:szCs w:val="24"/>
                <w:lang w:eastAsia="lt-LT"/>
              </w:rPr>
            </w:pPr>
            <w:r w:rsidRPr="00D27EC0">
              <w:rPr>
                <w:rFonts w:ascii="Times New Roman" w:eastAsia="Times New Roman" w:hAnsi="Times New Roman" w:cs="Times New Roman"/>
                <w:color w:val="000000"/>
                <w:sz w:val="24"/>
                <w:szCs w:val="24"/>
                <w:lang w:eastAsia="lt-LT"/>
              </w:rPr>
              <w:t xml:space="preserve"> EN 13697:2024</w:t>
            </w:r>
          </w:p>
          <w:p w14:paraId="223BED2E" w14:textId="77777777" w:rsidR="00133A61" w:rsidRPr="00D27EC0" w:rsidRDefault="00133A61" w:rsidP="00133A61">
            <w:pPr>
              <w:ind w:left="57" w:right="57"/>
              <w:jc w:val="both"/>
              <w:rPr>
                <w:rFonts w:ascii="Times New Roman" w:eastAsia="Times New Roman" w:hAnsi="Times New Roman" w:cs="Times New Roman"/>
                <w:color w:val="000000"/>
                <w:sz w:val="24"/>
                <w:szCs w:val="24"/>
                <w:lang w:eastAsia="lt-LT"/>
              </w:rPr>
            </w:pPr>
            <w:proofErr w:type="spellStart"/>
            <w:r w:rsidRPr="00D27EC0">
              <w:rPr>
                <w:rFonts w:ascii="Times New Roman" w:eastAsia="Times New Roman" w:hAnsi="Times New Roman" w:cs="Times New Roman"/>
                <w:color w:val="000000"/>
                <w:sz w:val="24"/>
                <w:szCs w:val="24"/>
                <w:lang w:eastAsia="lt-LT"/>
              </w:rPr>
              <w:t>Chemical</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disinfectants</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and</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antiseptics</w:t>
            </w:r>
            <w:proofErr w:type="spellEnd"/>
            <w:r w:rsidRPr="00D27EC0">
              <w:rPr>
                <w:rFonts w:ascii="Times New Roman" w:eastAsia="Times New Roman" w:hAnsi="Times New Roman" w:cs="Times New Roman"/>
                <w:color w:val="000000"/>
                <w:sz w:val="24"/>
                <w:szCs w:val="24"/>
                <w:lang w:eastAsia="lt-LT"/>
              </w:rPr>
              <w:t xml:space="preserve"> - </w:t>
            </w:r>
            <w:proofErr w:type="spellStart"/>
            <w:r w:rsidRPr="00D27EC0">
              <w:rPr>
                <w:rFonts w:ascii="Times New Roman" w:eastAsia="Times New Roman" w:hAnsi="Times New Roman" w:cs="Times New Roman"/>
                <w:color w:val="000000"/>
                <w:sz w:val="24"/>
                <w:szCs w:val="24"/>
                <w:lang w:eastAsia="lt-LT"/>
              </w:rPr>
              <w:t>Quantitative</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non-porous</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surface</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test</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for</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the</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evaluation</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of</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bactericidal</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and</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yeasticidal</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and</w:t>
            </w:r>
            <w:proofErr w:type="spellEnd"/>
            <w:r w:rsidRPr="00D27EC0">
              <w:rPr>
                <w:rFonts w:ascii="Times New Roman" w:eastAsia="Times New Roman" w:hAnsi="Times New Roman" w:cs="Times New Roman"/>
                <w:color w:val="000000"/>
                <w:sz w:val="24"/>
                <w:szCs w:val="24"/>
                <w:lang w:eastAsia="lt-LT"/>
              </w:rPr>
              <w:t>/</w:t>
            </w:r>
            <w:proofErr w:type="spellStart"/>
            <w:r w:rsidRPr="00D27EC0">
              <w:rPr>
                <w:rFonts w:ascii="Times New Roman" w:eastAsia="Times New Roman" w:hAnsi="Times New Roman" w:cs="Times New Roman"/>
                <w:color w:val="000000"/>
                <w:sz w:val="24"/>
                <w:szCs w:val="24"/>
                <w:lang w:eastAsia="lt-LT"/>
              </w:rPr>
              <w:t>or</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fungicidal</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activity</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of</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chemical</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disinfectants</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used</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in</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food</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industrial</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domestic</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and</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institutional</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areas</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without</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mechanical</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action</w:t>
            </w:r>
            <w:proofErr w:type="spellEnd"/>
            <w:r w:rsidRPr="00D27EC0">
              <w:rPr>
                <w:rFonts w:ascii="Times New Roman" w:eastAsia="Times New Roman" w:hAnsi="Times New Roman" w:cs="Times New Roman"/>
                <w:color w:val="000000"/>
                <w:sz w:val="24"/>
                <w:szCs w:val="24"/>
                <w:lang w:eastAsia="lt-LT"/>
              </w:rPr>
              <w:t xml:space="preserve"> - </w:t>
            </w:r>
            <w:proofErr w:type="spellStart"/>
            <w:r w:rsidRPr="00D27EC0">
              <w:rPr>
                <w:rFonts w:ascii="Times New Roman" w:eastAsia="Times New Roman" w:hAnsi="Times New Roman" w:cs="Times New Roman"/>
                <w:color w:val="000000"/>
                <w:sz w:val="24"/>
                <w:szCs w:val="24"/>
                <w:lang w:eastAsia="lt-LT"/>
              </w:rPr>
              <w:t>Test</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method</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and</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requirements</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without</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mechanical</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action</w:t>
            </w:r>
            <w:proofErr w:type="spellEnd"/>
            <w:r w:rsidRPr="00D27EC0">
              <w:rPr>
                <w:rFonts w:ascii="Times New Roman" w:eastAsia="Times New Roman" w:hAnsi="Times New Roman" w:cs="Times New Roman"/>
                <w:color w:val="000000"/>
                <w:sz w:val="24"/>
                <w:szCs w:val="24"/>
                <w:lang w:eastAsia="lt-LT"/>
              </w:rPr>
              <w:t xml:space="preserve"> (</w:t>
            </w:r>
            <w:proofErr w:type="spellStart"/>
            <w:r w:rsidRPr="00D27EC0">
              <w:rPr>
                <w:rFonts w:ascii="Times New Roman" w:eastAsia="Times New Roman" w:hAnsi="Times New Roman" w:cs="Times New Roman"/>
                <w:color w:val="000000"/>
                <w:sz w:val="24"/>
                <w:szCs w:val="24"/>
                <w:lang w:eastAsia="lt-LT"/>
              </w:rPr>
              <w:t>phase</w:t>
            </w:r>
            <w:proofErr w:type="spellEnd"/>
            <w:r w:rsidRPr="00D27EC0">
              <w:rPr>
                <w:rFonts w:ascii="Times New Roman" w:eastAsia="Times New Roman" w:hAnsi="Times New Roman" w:cs="Times New Roman"/>
                <w:color w:val="000000"/>
                <w:sz w:val="24"/>
                <w:szCs w:val="24"/>
                <w:lang w:eastAsia="lt-LT"/>
              </w:rPr>
              <w:t xml:space="preserve"> 2, </w:t>
            </w:r>
            <w:proofErr w:type="spellStart"/>
            <w:r w:rsidRPr="00D27EC0">
              <w:rPr>
                <w:rFonts w:ascii="Times New Roman" w:eastAsia="Times New Roman" w:hAnsi="Times New Roman" w:cs="Times New Roman"/>
                <w:color w:val="000000"/>
                <w:sz w:val="24"/>
                <w:szCs w:val="24"/>
                <w:lang w:eastAsia="lt-LT"/>
              </w:rPr>
              <w:t>step</w:t>
            </w:r>
            <w:proofErr w:type="spellEnd"/>
            <w:r w:rsidRPr="00D27EC0">
              <w:rPr>
                <w:rFonts w:ascii="Times New Roman" w:eastAsia="Times New Roman" w:hAnsi="Times New Roman" w:cs="Times New Roman"/>
                <w:color w:val="000000"/>
                <w:sz w:val="24"/>
                <w:szCs w:val="24"/>
                <w:lang w:eastAsia="lt-LT"/>
              </w:rPr>
              <w:t xml:space="preserve"> 2).</w:t>
            </w:r>
          </w:p>
          <w:p w14:paraId="7006D17A" w14:textId="77777777" w:rsidR="00133A61" w:rsidRPr="00D27EC0" w:rsidRDefault="00133A61" w:rsidP="00133A61">
            <w:pPr>
              <w:ind w:left="57" w:right="57"/>
              <w:jc w:val="both"/>
              <w:rPr>
                <w:rFonts w:ascii="Times New Roman" w:eastAsia="Times New Roman" w:hAnsi="Times New Roman" w:cs="Times New Roman"/>
                <w:color w:val="000000"/>
                <w:sz w:val="24"/>
                <w:szCs w:val="24"/>
                <w:lang w:eastAsia="lt-LT"/>
              </w:rPr>
            </w:pPr>
          </w:p>
          <w:p w14:paraId="692E4D24" w14:textId="509F385F" w:rsidR="00F91EDE" w:rsidRPr="00D40905" w:rsidRDefault="00133A61" w:rsidP="00133A61">
            <w:pPr>
              <w:ind w:left="57" w:right="57"/>
              <w:jc w:val="both"/>
              <w:rPr>
                <w:rFonts w:ascii="Times New Roman" w:eastAsia="Times New Roman" w:hAnsi="Times New Roman" w:cs="Times New Roman"/>
                <w:color w:val="000000"/>
                <w:sz w:val="24"/>
                <w:szCs w:val="24"/>
                <w:lang w:eastAsia="lt-LT"/>
              </w:rPr>
            </w:pPr>
            <w:r w:rsidRPr="00D27EC0">
              <w:rPr>
                <w:rFonts w:ascii="Times New Roman" w:eastAsia="Times New Roman" w:hAnsi="Times New Roman" w:cs="Times New Roman"/>
                <w:color w:val="000000"/>
                <w:sz w:val="24"/>
                <w:szCs w:val="24"/>
                <w:lang w:eastAsia="lt-LT"/>
              </w:rPr>
              <w:t>Prašome panaikinti reikalavimą atitikčiai standartui EN13697.</w:t>
            </w:r>
          </w:p>
        </w:tc>
        <w:tc>
          <w:tcPr>
            <w:tcW w:w="4820" w:type="dxa"/>
          </w:tcPr>
          <w:p w14:paraId="0193873F" w14:textId="77777777" w:rsidR="00F91EDE" w:rsidRDefault="00CA443B" w:rsidP="00D033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13697 – tai Europos standartas, nustatantis cheminių dezinfekavimo ir antiseptinių priemonių veiksmingumo įvertinimo metodus neporėtuose paviršiuose. </w:t>
            </w:r>
            <w:r w:rsidRPr="003400CE">
              <w:rPr>
                <w:rFonts w:ascii="Times New Roman" w:eastAsia="Times New Roman" w:hAnsi="Times New Roman" w:cs="Times New Roman"/>
                <w:b/>
                <w:bCs/>
                <w:sz w:val="24"/>
                <w:szCs w:val="24"/>
              </w:rPr>
              <w:t>PO reikalinga universali dezinfekcinė priemonė aplinkos paviršių</w:t>
            </w:r>
            <w:r>
              <w:rPr>
                <w:rFonts w:ascii="Times New Roman" w:eastAsia="Times New Roman" w:hAnsi="Times New Roman" w:cs="Times New Roman"/>
                <w:sz w:val="24"/>
                <w:szCs w:val="24"/>
              </w:rPr>
              <w:t xml:space="preserve"> (pvz. unitazų dangčiai, kranai, grindys ir kt.), </w:t>
            </w:r>
            <w:r w:rsidRPr="003400CE">
              <w:rPr>
                <w:rFonts w:ascii="Times New Roman" w:eastAsia="Times New Roman" w:hAnsi="Times New Roman" w:cs="Times New Roman"/>
                <w:b/>
                <w:bCs/>
                <w:sz w:val="24"/>
                <w:szCs w:val="24"/>
              </w:rPr>
              <w:t xml:space="preserve">kurie </w:t>
            </w:r>
            <w:r w:rsidRPr="003400CE">
              <w:rPr>
                <w:rFonts w:ascii="Times New Roman" w:eastAsia="Times New Roman" w:hAnsi="Times New Roman" w:cs="Times New Roman"/>
                <w:b/>
                <w:bCs/>
                <w:sz w:val="24"/>
                <w:szCs w:val="24"/>
                <w:u w:val="single"/>
              </w:rPr>
              <w:t>nėra medicinos prietaisai (buitinės paskirties)</w:t>
            </w:r>
            <w:r>
              <w:rPr>
                <w:rFonts w:ascii="Times New Roman" w:eastAsia="Times New Roman" w:hAnsi="Times New Roman" w:cs="Times New Roman"/>
                <w:sz w:val="24"/>
                <w:szCs w:val="24"/>
              </w:rPr>
              <w:t xml:space="preserve"> </w:t>
            </w:r>
            <w:r w:rsidRPr="00AC43EF">
              <w:rPr>
                <w:rFonts w:ascii="Times New Roman" w:eastAsia="Times New Roman" w:hAnsi="Times New Roman" w:cs="Times New Roman"/>
                <w:b/>
                <w:bCs/>
                <w:sz w:val="24"/>
                <w:szCs w:val="24"/>
              </w:rPr>
              <w:t>ir medicinos įrangos dezinfekcijai tinkama priemonė</w:t>
            </w:r>
            <w:r>
              <w:rPr>
                <w:rFonts w:ascii="Times New Roman" w:eastAsia="Times New Roman" w:hAnsi="Times New Roman" w:cs="Times New Roman"/>
                <w:sz w:val="24"/>
                <w:szCs w:val="24"/>
              </w:rPr>
              <w:t>. Ne medicinos prietaisų dezinfekcijai priemonės turi atitikti EN 13697 reikalavimus. Tai yra bendrinis standartas, o specifiniai (</w:t>
            </w:r>
            <w:proofErr w:type="spellStart"/>
            <w:r>
              <w:rPr>
                <w:rFonts w:ascii="Times New Roman" w:eastAsia="Times New Roman" w:hAnsi="Times New Roman" w:cs="Times New Roman"/>
                <w:sz w:val="24"/>
                <w:szCs w:val="24"/>
              </w:rPr>
              <w:t>t.y</w:t>
            </w:r>
            <w:proofErr w:type="spellEnd"/>
            <w:r>
              <w:rPr>
                <w:rFonts w:ascii="Times New Roman" w:eastAsia="Times New Roman" w:hAnsi="Times New Roman" w:cs="Times New Roman"/>
                <w:sz w:val="24"/>
                <w:szCs w:val="24"/>
              </w:rPr>
              <w:t xml:space="preserve">. tik medicinos prietaisų dezinfekcijai) skirti standartai nurodyti kiti. </w:t>
            </w:r>
            <w:r w:rsidRPr="000109CD">
              <w:rPr>
                <w:rFonts w:ascii="Times New Roman" w:eastAsia="Times New Roman" w:hAnsi="Times New Roman" w:cs="Times New Roman"/>
                <w:sz w:val="24"/>
                <w:szCs w:val="24"/>
              </w:rPr>
              <w:t xml:space="preserve">Taip pat PO atliko rinkos konsultaciją, kurios metu nustatyta, kad </w:t>
            </w:r>
            <w:r>
              <w:rPr>
                <w:rFonts w:ascii="Times New Roman" w:eastAsia="Times New Roman" w:hAnsi="Times New Roman" w:cs="Times New Roman"/>
                <w:sz w:val="24"/>
                <w:szCs w:val="24"/>
              </w:rPr>
              <w:t xml:space="preserve">daugiau nei </w:t>
            </w:r>
            <w:r w:rsidRPr="000109CD">
              <w:rPr>
                <w:rFonts w:ascii="Times New Roman" w:eastAsia="Times New Roman" w:hAnsi="Times New Roman" w:cs="Times New Roman"/>
                <w:sz w:val="24"/>
                <w:szCs w:val="24"/>
              </w:rPr>
              <w:t>trys tiekėjai</w:t>
            </w:r>
            <w:r>
              <w:rPr>
                <w:rFonts w:ascii="Times New Roman" w:eastAsia="Times New Roman" w:hAnsi="Times New Roman" w:cs="Times New Roman"/>
                <w:sz w:val="24"/>
                <w:szCs w:val="24"/>
              </w:rPr>
              <w:t xml:space="preserve"> gali pasiūlyti šią priemonę. Todėl nėra ribojama tiekėjų konkurencija ir/ar sudarytos sąlygos tik vienam tiekėjui.  </w:t>
            </w:r>
          </w:p>
          <w:p w14:paraId="1E4B19F3" w14:textId="77777777" w:rsidR="00CA443B" w:rsidRDefault="00CA443B" w:rsidP="00D03309">
            <w:pPr>
              <w:jc w:val="both"/>
              <w:rPr>
                <w:rFonts w:ascii="Times New Roman" w:eastAsia="Times New Roman" w:hAnsi="Times New Roman" w:cs="Times New Roman"/>
                <w:sz w:val="24"/>
                <w:szCs w:val="24"/>
              </w:rPr>
            </w:pPr>
          </w:p>
          <w:p w14:paraId="3052434F" w14:textId="14E65986" w:rsidR="00CA443B" w:rsidRDefault="00CA443B" w:rsidP="00D03309">
            <w:pPr>
              <w:jc w:val="both"/>
              <w:rPr>
                <w:rFonts w:ascii="Times New Roman" w:eastAsia="Times New Roman" w:hAnsi="Times New Roman" w:cs="Times New Roman"/>
                <w:sz w:val="24"/>
                <w:szCs w:val="24"/>
              </w:rPr>
            </w:pPr>
            <w:r w:rsidRPr="00F91EDE">
              <w:rPr>
                <w:rFonts w:ascii="Times New Roman" w:eastAsia="Times New Roman" w:hAnsi="Times New Roman" w:cs="Times New Roman"/>
                <w:sz w:val="24"/>
                <w:szCs w:val="24"/>
              </w:rPr>
              <w:t xml:space="preserve">Informuojame, kad techninės specifikacijos </w:t>
            </w:r>
            <w:r w:rsidRPr="00F91ED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8</w:t>
            </w:r>
            <w:r w:rsidRPr="00F91EDE">
              <w:rPr>
                <w:rFonts w:ascii="Times New Roman" w:eastAsia="Times New Roman" w:hAnsi="Times New Roman" w:cs="Times New Roman"/>
                <w:b/>
                <w:bCs/>
                <w:sz w:val="24"/>
                <w:szCs w:val="24"/>
              </w:rPr>
              <w:t xml:space="preserve"> pirkimo dalies reikalavimai nebus keičiami</w:t>
            </w:r>
            <w:r w:rsidRPr="00F91EDE">
              <w:rPr>
                <w:rFonts w:ascii="Times New Roman" w:eastAsia="Times New Roman" w:hAnsi="Times New Roman" w:cs="Times New Roman"/>
                <w:sz w:val="24"/>
                <w:szCs w:val="24"/>
              </w:rPr>
              <w:t>.</w:t>
            </w:r>
          </w:p>
        </w:tc>
      </w:tr>
    </w:tbl>
    <w:p w14:paraId="342AAB24" w14:textId="77777777" w:rsidR="00EC5C6D" w:rsidRPr="00443BF6" w:rsidRDefault="00EC5C6D" w:rsidP="00EC5C6D">
      <w:pPr>
        <w:pStyle w:val="Body2"/>
        <w:spacing w:after="0"/>
        <w:rPr>
          <w:rFonts w:cs="Times New Roman"/>
          <w:sz w:val="24"/>
          <w:szCs w:val="24"/>
          <w:lang w:val="lt-LT" w:eastAsia="ar-SA"/>
        </w:rPr>
      </w:pPr>
    </w:p>
    <w:p w14:paraId="05BD3F22" w14:textId="77777777" w:rsidR="00443BF6" w:rsidRPr="00443BF6" w:rsidRDefault="00443BF6" w:rsidP="0087021D">
      <w:pPr>
        <w:spacing w:after="0" w:line="240" w:lineRule="auto"/>
        <w:jc w:val="both"/>
        <w:rPr>
          <w:rStyle w:val="Style29"/>
          <w:i/>
          <w:iCs/>
          <w:sz w:val="22"/>
          <w:szCs w:val="20"/>
        </w:rPr>
      </w:pPr>
      <w:r w:rsidRPr="00443BF6">
        <w:rPr>
          <w:rStyle w:val="Style29"/>
          <w:sz w:val="22"/>
          <w:szCs w:val="20"/>
        </w:rPr>
        <w:t xml:space="preserve">* </w:t>
      </w:r>
      <w:r w:rsidRPr="00443BF6">
        <w:rPr>
          <w:rStyle w:val="Style29"/>
          <w:i/>
          <w:iCs/>
          <w:sz w:val="22"/>
          <w:szCs w:val="20"/>
        </w:rPr>
        <w:t>Suinteresuoto (-ų) tiekėjo (-ų) prašymo (-ų) paaiškinti / patikslinti pirkimo dokumentus tekstas neredaguotas.</w:t>
      </w:r>
    </w:p>
    <w:p w14:paraId="1710B18B" w14:textId="441BD0C8" w:rsidR="0087021D" w:rsidRDefault="00443BF6" w:rsidP="00357C70">
      <w:pPr>
        <w:spacing w:after="0" w:line="240" w:lineRule="auto"/>
        <w:jc w:val="both"/>
        <w:rPr>
          <w:rFonts w:ascii="Times New Roman" w:hAnsi="Times New Roman" w:cs="Times New Roman"/>
          <w:sz w:val="24"/>
          <w:szCs w:val="24"/>
        </w:rPr>
      </w:pPr>
      <w:r w:rsidRPr="00443BF6">
        <w:rPr>
          <w:rStyle w:val="Style29"/>
          <w:i/>
          <w:iCs/>
          <w:sz w:val="22"/>
          <w:szCs w:val="20"/>
        </w:rPr>
        <w:t>** Paaiškinimas / patikslinimas ir jo nuostatos turi viršenybę prieš ankstesnes pirkimo dokumentuose išdėstytas nuostatas.</w:t>
      </w:r>
    </w:p>
    <w:p w14:paraId="00C205E8" w14:textId="77777777" w:rsidR="0087021D" w:rsidRDefault="0087021D" w:rsidP="0087021D">
      <w:pPr>
        <w:spacing w:after="0" w:line="240" w:lineRule="auto"/>
        <w:rPr>
          <w:rFonts w:ascii="Times New Roman" w:hAnsi="Times New Roman" w:cs="Times New Roman"/>
          <w:sz w:val="24"/>
          <w:szCs w:val="24"/>
        </w:rPr>
      </w:pPr>
    </w:p>
    <w:sectPr w:rsidR="0087021D" w:rsidSect="000321F7">
      <w:footerReference w:type="default" r:id="rId13"/>
      <w:pgSz w:w="11906" w:h="16838"/>
      <w:pgMar w:top="794" w:right="567" w:bottom="851" w:left="136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9BED" w14:textId="77777777" w:rsidR="00D45832" w:rsidRDefault="00D45832">
      <w:pPr>
        <w:spacing w:after="0" w:line="240" w:lineRule="auto"/>
      </w:pPr>
      <w:r>
        <w:separator/>
      </w:r>
    </w:p>
  </w:endnote>
  <w:endnote w:type="continuationSeparator" w:id="0">
    <w:p w14:paraId="3FAACEBF" w14:textId="77777777" w:rsidR="00D45832" w:rsidRDefault="00D45832">
      <w:pPr>
        <w:spacing w:after="0" w:line="240" w:lineRule="auto"/>
      </w:pPr>
      <w:r>
        <w:continuationSeparator/>
      </w:r>
    </w:p>
  </w:endnote>
  <w:endnote w:type="continuationNotice" w:id="1">
    <w:p w14:paraId="681DAEF5" w14:textId="77777777" w:rsidR="00D45832" w:rsidRDefault="00D45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CF6C" w14:textId="5844E825" w:rsidR="00AE3FA2" w:rsidRPr="002C1900" w:rsidRDefault="003D21C0" w:rsidP="002C1900">
    <w:pPr>
      <w:spacing w:after="0"/>
      <w:rPr>
        <w:rFonts w:ascii="Times New Roman" w:hAnsi="Times New Roman" w:cs="Times New Roman"/>
        <w:sz w:val="16"/>
        <w:szCs w:val="16"/>
      </w:rPr>
    </w:pPr>
    <w:r w:rsidRPr="003D21C0">
      <w:rPr>
        <w:rFonts w:ascii="Times New Roman" w:hAnsi="Times New Roman" w:cs="Times New Roman"/>
        <w:sz w:val="24"/>
        <w:szCs w:val="24"/>
        <w:lang w:val="pt-BR"/>
      </w:rPr>
      <w:t xml:space="preserve">Aušra Sidaraitė-Markevičienė, tel. +370 </w:t>
    </w:r>
    <w:r w:rsidRPr="003D21C0">
      <w:rPr>
        <w:rFonts w:ascii="Times New Roman" w:hAnsi="Times New Roman" w:cs="Times New Roman"/>
        <w:b/>
        <w:bCs/>
        <w:color w:val="000000"/>
        <w:shd w:val="clear" w:color="auto" w:fill="FFFFFF"/>
        <w:lang w:val="pt-BR"/>
      </w:rPr>
      <w:t> </w:t>
    </w:r>
    <w:r w:rsidRPr="003D21C0">
      <w:rPr>
        <w:rFonts w:ascii="Times New Roman" w:hAnsi="Times New Roman" w:cs="Times New Roman"/>
        <w:color w:val="000000"/>
        <w:sz w:val="24"/>
        <w:szCs w:val="24"/>
        <w:shd w:val="clear" w:color="auto" w:fill="FFFFFF"/>
        <w:lang w:val="pt-BR"/>
      </w:rPr>
      <w:t>664  56839</w:t>
    </w:r>
    <w:r w:rsidRPr="003D21C0">
      <w:rPr>
        <w:rFonts w:ascii="Times New Roman" w:hAnsi="Times New Roman" w:cs="Times New Roman"/>
        <w:sz w:val="24"/>
        <w:szCs w:val="24"/>
        <w:lang w:val="pt-BR"/>
      </w:rPr>
      <w:t xml:space="preserve">, el. p. </w:t>
    </w:r>
    <w:hyperlink r:id="rId1" w:history="1">
      <w:r w:rsidRPr="003D21C0">
        <w:rPr>
          <w:rStyle w:val="Hipersaitas"/>
          <w:rFonts w:ascii="Times New Roman" w:eastAsiaTheme="majorEastAsia" w:hAnsi="Times New Roman" w:cs="Times New Roman"/>
          <w:sz w:val="24"/>
          <w:szCs w:val="24"/>
        </w:rPr>
        <w:t>ausra.markeviciene@vilnius.lt</w:t>
      </w:r>
    </w:hyperlink>
    <w:r w:rsidR="00AE3FA2" w:rsidRPr="002C1900">
      <w:rPr>
        <w:rFonts w:ascii="Times New Roman" w:hAnsi="Times New Roman" w:cs="Times New Roman"/>
        <w:noProof/>
      </w:rPr>
      <mc:AlternateContent>
        <mc:Choice Requires="wps">
          <w:drawing>
            <wp:inline distT="0" distB="0" distL="0" distR="0" wp14:anchorId="46FB5DAC" wp14:editId="34456F9E">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w:pict>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50BEC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2C1900" w:rsidRPr="002C1900" w14:paraId="27AD41EF" w14:textId="77777777" w:rsidTr="00AD1613">
      <w:tc>
        <w:tcPr>
          <w:tcW w:w="1072" w:type="dxa"/>
          <w:vMerge w:val="restart"/>
        </w:tcPr>
        <w:p w14:paraId="5A8A34BB"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noProof/>
            </w:rPr>
            <w:drawing>
              <wp:inline distT="0" distB="0" distL="0" distR="0" wp14:anchorId="66D7DBF5" wp14:editId="021E44DD">
                <wp:extent cx="495300" cy="419100"/>
                <wp:effectExtent l="0" t="0" r="0" b="0"/>
                <wp:docPr id="377808292" name="Paveikslėlis 37780829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0315C341"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Biudžetinė įstaiga</w:t>
          </w:r>
        </w:p>
      </w:tc>
      <w:tc>
        <w:tcPr>
          <w:tcW w:w="1701" w:type="dxa"/>
        </w:tcPr>
        <w:p w14:paraId="74F03581"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Konstitucijos pr. 3</w:t>
          </w:r>
        </w:p>
      </w:tc>
      <w:tc>
        <w:tcPr>
          <w:tcW w:w="3123" w:type="dxa"/>
        </w:tcPr>
        <w:p w14:paraId="3E418C1A"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 xml:space="preserve">El. p. </w:t>
          </w:r>
          <w:r w:rsidRPr="002C1900">
            <w:rPr>
              <w:rFonts w:ascii="Times New Roman" w:hAnsi="Times New Roman" w:cs="Times New Roman"/>
              <w:color w:val="000000"/>
              <w:sz w:val="16"/>
              <w:szCs w:val="16"/>
            </w:rPr>
            <w:t>savivaldybe@vilnius.lt</w:t>
          </w:r>
        </w:p>
      </w:tc>
      <w:tc>
        <w:tcPr>
          <w:tcW w:w="1123" w:type="dxa"/>
          <w:vMerge w:val="restart"/>
        </w:tcPr>
        <w:p w14:paraId="73A8A41F" w14:textId="77777777" w:rsidR="00AE3FA2" w:rsidRPr="002C1900" w:rsidRDefault="00AE3FA2" w:rsidP="002C1900">
          <w:pPr>
            <w:spacing w:after="0"/>
            <w:rPr>
              <w:rFonts w:ascii="Times New Roman" w:hAnsi="Times New Roman" w:cs="Times New Roman"/>
              <w:sz w:val="16"/>
              <w:szCs w:val="16"/>
            </w:rPr>
          </w:pPr>
        </w:p>
      </w:tc>
    </w:tr>
    <w:tr w:rsidR="002C1900" w:rsidRPr="002C1900" w14:paraId="4D6A2652" w14:textId="77777777" w:rsidTr="00AD1613">
      <w:tc>
        <w:tcPr>
          <w:tcW w:w="1072" w:type="dxa"/>
          <w:vMerge/>
        </w:tcPr>
        <w:p w14:paraId="3CC72D4A" w14:textId="77777777" w:rsidR="00AE3FA2" w:rsidRPr="002C1900" w:rsidRDefault="00AE3FA2" w:rsidP="002C1900">
          <w:pPr>
            <w:spacing w:after="0"/>
            <w:rPr>
              <w:rFonts w:ascii="Times New Roman" w:hAnsi="Times New Roman" w:cs="Times New Roman"/>
              <w:sz w:val="16"/>
              <w:szCs w:val="16"/>
            </w:rPr>
          </w:pPr>
        </w:p>
      </w:tc>
      <w:tc>
        <w:tcPr>
          <w:tcW w:w="2501" w:type="dxa"/>
        </w:tcPr>
        <w:p w14:paraId="402143F4"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Kodas 188710061</w:t>
          </w:r>
        </w:p>
      </w:tc>
      <w:tc>
        <w:tcPr>
          <w:tcW w:w="1701" w:type="dxa"/>
        </w:tcPr>
        <w:p w14:paraId="5738B9D6"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LT-09601 Vilnius</w:t>
          </w:r>
        </w:p>
      </w:tc>
      <w:tc>
        <w:tcPr>
          <w:tcW w:w="3123" w:type="dxa"/>
        </w:tcPr>
        <w:p w14:paraId="363E2A8C"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E. pristatymo dėžutės adresas – 188710061</w:t>
          </w:r>
        </w:p>
      </w:tc>
      <w:tc>
        <w:tcPr>
          <w:tcW w:w="1123" w:type="dxa"/>
          <w:vMerge/>
        </w:tcPr>
        <w:p w14:paraId="09F3149B" w14:textId="77777777" w:rsidR="00AE3FA2" w:rsidRPr="002C1900" w:rsidRDefault="00AE3FA2" w:rsidP="002C1900">
          <w:pPr>
            <w:spacing w:after="0"/>
            <w:rPr>
              <w:rFonts w:ascii="Times New Roman" w:hAnsi="Times New Roman" w:cs="Times New Roman"/>
            </w:rPr>
          </w:pPr>
        </w:p>
      </w:tc>
    </w:tr>
    <w:tr w:rsidR="002C1900" w:rsidRPr="002C1900" w14:paraId="7DAB5D3D" w14:textId="77777777" w:rsidTr="00AD1613">
      <w:tc>
        <w:tcPr>
          <w:tcW w:w="1072" w:type="dxa"/>
          <w:vMerge/>
        </w:tcPr>
        <w:p w14:paraId="7C4CF17A" w14:textId="77777777" w:rsidR="00AE3FA2" w:rsidRPr="002C1900" w:rsidRDefault="00AE3FA2" w:rsidP="002C1900">
          <w:pPr>
            <w:spacing w:after="0"/>
            <w:rPr>
              <w:rFonts w:ascii="Times New Roman" w:hAnsi="Times New Roman" w:cs="Times New Roman"/>
              <w:sz w:val="16"/>
              <w:szCs w:val="16"/>
            </w:rPr>
          </w:pPr>
        </w:p>
      </w:tc>
      <w:tc>
        <w:tcPr>
          <w:tcW w:w="2501" w:type="dxa"/>
        </w:tcPr>
        <w:p w14:paraId="2ED8BF6C"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Duomenys kaupiami ir saugomi</w:t>
          </w:r>
        </w:p>
      </w:tc>
      <w:tc>
        <w:tcPr>
          <w:tcW w:w="1701" w:type="dxa"/>
        </w:tcPr>
        <w:p w14:paraId="4C344D81"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Tel. (8 5)  211 2000</w:t>
          </w:r>
        </w:p>
      </w:tc>
      <w:tc>
        <w:tcPr>
          <w:tcW w:w="3123" w:type="dxa"/>
        </w:tcPr>
        <w:p w14:paraId="0D8E1B58"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www.vilnius.lt</w:t>
          </w:r>
        </w:p>
      </w:tc>
      <w:tc>
        <w:tcPr>
          <w:tcW w:w="1123" w:type="dxa"/>
          <w:vMerge/>
        </w:tcPr>
        <w:p w14:paraId="1FBBAB67" w14:textId="77777777" w:rsidR="00AE3FA2" w:rsidRPr="002C1900" w:rsidRDefault="00AE3FA2" w:rsidP="002C1900">
          <w:pPr>
            <w:spacing w:after="0"/>
            <w:rPr>
              <w:rFonts w:ascii="Times New Roman" w:hAnsi="Times New Roman" w:cs="Times New Roman"/>
              <w:sz w:val="16"/>
              <w:szCs w:val="16"/>
            </w:rPr>
          </w:pPr>
        </w:p>
      </w:tc>
    </w:tr>
    <w:tr w:rsidR="002C1900" w:rsidRPr="002C1900" w14:paraId="5246575B" w14:textId="77777777" w:rsidTr="00AD1613">
      <w:tc>
        <w:tcPr>
          <w:tcW w:w="1072" w:type="dxa"/>
          <w:vMerge/>
        </w:tcPr>
        <w:p w14:paraId="3224F0A9" w14:textId="77777777" w:rsidR="00AE3FA2" w:rsidRPr="002C1900" w:rsidRDefault="00AE3FA2" w:rsidP="002C1900">
          <w:pPr>
            <w:spacing w:after="0"/>
            <w:rPr>
              <w:rFonts w:ascii="Times New Roman" w:hAnsi="Times New Roman" w:cs="Times New Roman"/>
              <w:sz w:val="16"/>
              <w:szCs w:val="16"/>
            </w:rPr>
          </w:pPr>
        </w:p>
      </w:tc>
      <w:tc>
        <w:tcPr>
          <w:tcW w:w="2501" w:type="dxa"/>
        </w:tcPr>
        <w:p w14:paraId="4E3154D7" w14:textId="77777777" w:rsidR="00AE3FA2" w:rsidRPr="002C1900" w:rsidRDefault="00AE3FA2" w:rsidP="002C1900">
          <w:pPr>
            <w:spacing w:after="0"/>
            <w:rPr>
              <w:rFonts w:ascii="Times New Roman" w:hAnsi="Times New Roman" w:cs="Times New Roman"/>
              <w:sz w:val="16"/>
              <w:szCs w:val="16"/>
            </w:rPr>
          </w:pPr>
          <w:r w:rsidRPr="002C1900">
            <w:rPr>
              <w:rFonts w:ascii="Times New Roman" w:hAnsi="Times New Roman" w:cs="Times New Roman"/>
              <w:sz w:val="16"/>
              <w:szCs w:val="16"/>
            </w:rPr>
            <w:t>Juridinių asmenų registre</w:t>
          </w:r>
        </w:p>
      </w:tc>
      <w:tc>
        <w:tcPr>
          <w:tcW w:w="1701" w:type="dxa"/>
        </w:tcPr>
        <w:p w14:paraId="5590A6F4" w14:textId="77777777" w:rsidR="00AE3FA2" w:rsidRPr="002C1900" w:rsidRDefault="00AE3FA2" w:rsidP="002C1900">
          <w:pPr>
            <w:spacing w:after="0"/>
            <w:rPr>
              <w:rFonts w:ascii="Times New Roman" w:hAnsi="Times New Roman" w:cs="Times New Roman"/>
              <w:sz w:val="16"/>
              <w:szCs w:val="16"/>
            </w:rPr>
          </w:pPr>
        </w:p>
      </w:tc>
      <w:tc>
        <w:tcPr>
          <w:tcW w:w="3123" w:type="dxa"/>
        </w:tcPr>
        <w:p w14:paraId="2961B93B" w14:textId="77777777" w:rsidR="00AE3FA2" w:rsidRPr="002C1900" w:rsidRDefault="00AE3FA2" w:rsidP="002C1900">
          <w:pPr>
            <w:spacing w:after="0"/>
            <w:rPr>
              <w:rFonts w:ascii="Times New Roman" w:hAnsi="Times New Roman" w:cs="Times New Roman"/>
              <w:sz w:val="16"/>
              <w:szCs w:val="16"/>
            </w:rPr>
          </w:pPr>
        </w:p>
      </w:tc>
      <w:tc>
        <w:tcPr>
          <w:tcW w:w="1123" w:type="dxa"/>
          <w:vMerge/>
        </w:tcPr>
        <w:p w14:paraId="250BD710" w14:textId="77777777" w:rsidR="00AE3FA2" w:rsidRPr="002C1900" w:rsidRDefault="00AE3FA2" w:rsidP="002C1900">
          <w:pPr>
            <w:spacing w:after="0"/>
            <w:rPr>
              <w:rFonts w:ascii="Times New Roman" w:hAnsi="Times New Roman" w:cs="Times New Roman"/>
              <w:sz w:val="16"/>
              <w:szCs w:val="16"/>
            </w:rPr>
          </w:pPr>
        </w:p>
      </w:tc>
    </w:tr>
  </w:tbl>
  <w:p w14:paraId="6F921007" w14:textId="77777777" w:rsidR="00AE3FA2" w:rsidRPr="002C1900" w:rsidRDefault="00AE3FA2" w:rsidP="002C1900">
    <w:pPr>
      <w:pStyle w:val="Porat"/>
      <w:rPr>
        <w:rFonts w:ascii="Times New Roman" w:hAnsi="Times New Roman" w:cs="Times New Roman"/>
      </w:rPr>
    </w:pPr>
  </w:p>
  <w:p w14:paraId="517DD1CE" w14:textId="77777777" w:rsidR="00AE3FA2" w:rsidRDefault="00AE3F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551D" w14:textId="77777777" w:rsidR="00D45832" w:rsidRDefault="00D45832">
      <w:pPr>
        <w:spacing w:after="0" w:line="240" w:lineRule="auto"/>
      </w:pPr>
      <w:r>
        <w:separator/>
      </w:r>
    </w:p>
  </w:footnote>
  <w:footnote w:type="continuationSeparator" w:id="0">
    <w:p w14:paraId="0802708F" w14:textId="77777777" w:rsidR="00D45832" w:rsidRDefault="00D45832">
      <w:pPr>
        <w:spacing w:after="0" w:line="240" w:lineRule="auto"/>
      </w:pPr>
      <w:r>
        <w:continuationSeparator/>
      </w:r>
    </w:p>
  </w:footnote>
  <w:footnote w:type="continuationNotice" w:id="1">
    <w:p w14:paraId="2D313DB6" w14:textId="77777777" w:rsidR="00D45832" w:rsidRDefault="00D458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16FC"/>
    <w:multiLevelType w:val="hybridMultilevel"/>
    <w:tmpl w:val="2202F8E0"/>
    <w:lvl w:ilvl="0" w:tplc="DF0EA2F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28F85E89"/>
    <w:multiLevelType w:val="multilevel"/>
    <w:tmpl w:val="827E8BBA"/>
    <w:lvl w:ilvl="0">
      <w:start w:val="57"/>
      <w:numFmt w:val="decimal"/>
      <w:lvlText w:val="%1."/>
      <w:lvlJc w:val="left"/>
      <w:pPr>
        <w:ind w:left="1495" w:hanging="360"/>
      </w:pPr>
      <w:rPr>
        <w:rFonts w:hint="default"/>
        <w:b w:val="0"/>
        <w:bCs w:val="0"/>
        <w:i w:val="0"/>
        <w:iCs/>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 w15:restartNumberingAfterBreak="0">
    <w:nsid w:val="29EA36D4"/>
    <w:multiLevelType w:val="hybridMultilevel"/>
    <w:tmpl w:val="87428B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0678468">
    <w:abstractNumId w:val="2"/>
  </w:num>
  <w:num w:numId="2" w16cid:durableId="1249733252">
    <w:abstractNumId w:val="0"/>
  </w:num>
  <w:num w:numId="3" w16cid:durableId="199552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A2"/>
    <w:rsid w:val="00010C46"/>
    <w:rsid w:val="000138A2"/>
    <w:rsid w:val="00021242"/>
    <w:rsid w:val="0002781F"/>
    <w:rsid w:val="000321F7"/>
    <w:rsid w:val="000361FB"/>
    <w:rsid w:val="00051645"/>
    <w:rsid w:val="00085CAC"/>
    <w:rsid w:val="00092A63"/>
    <w:rsid w:val="00093950"/>
    <w:rsid w:val="000A2879"/>
    <w:rsid w:val="000B0319"/>
    <w:rsid w:val="000B60B5"/>
    <w:rsid w:val="000C15C9"/>
    <w:rsid w:val="000D038E"/>
    <w:rsid w:val="000D74C4"/>
    <w:rsid w:val="000E2208"/>
    <w:rsid w:val="000F1F1C"/>
    <w:rsid w:val="000F4924"/>
    <w:rsid w:val="0010616D"/>
    <w:rsid w:val="00107E94"/>
    <w:rsid w:val="00126A71"/>
    <w:rsid w:val="00126BAC"/>
    <w:rsid w:val="00133A61"/>
    <w:rsid w:val="001477FA"/>
    <w:rsid w:val="001602AB"/>
    <w:rsid w:val="001613CD"/>
    <w:rsid w:val="001640AE"/>
    <w:rsid w:val="001679EF"/>
    <w:rsid w:val="00171D44"/>
    <w:rsid w:val="0017369C"/>
    <w:rsid w:val="00173D96"/>
    <w:rsid w:val="001926EF"/>
    <w:rsid w:val="0019617C"/>
    <w:rsid w:val="001B3AF2"/>
    <w:rsid w:val="001B5B81"/>
    <w:rsid w:val="001C2570"/>
    <w:rsid w:val="001D5D8F"/>
    <w:rsid w:val="001E49A2"/>
    <w:rsid w:val="001E7540"/>
    <w:rsid w:val="001F277F"/>
    <w:rsid w:val="001F66CE"/>
    <w:rsid w:val="001F67EF"/>
    <w:rsid w:val="00200B0E"/>
    <w:rsid w:val="00213570"/>
    <w:rsid w:val="00221334"/>
    <w:rsid w:val="002314FD"/>
    <w:rsid w:val="00232CA3"/>
    <w:rsid w:val="00232F7E"/>
    <w:rsid w:val="00253915"/>
    <w:rsid w:val="00255E8A"/>
    <w:rsid w:val="002711FE"/>
    <w:rsid w:val="002726A5"/>
    <w:rsid w:val="00280586"/>
    <w:rsid w:val="00282AE3"/>
    <w:rsid w:val="00291118"/>
    <w:rsid w:val="002A1EE2"/>
    <w:rsid w:val="002B7E1A"/>
    <w:rsid w:val="002E61CE"/>
    <w:rsid w:val="002F7528"/>
    <w:rsid w:val="003051F7"/>
    <w:rsid w:val="003129EC"/>
    <w:rsid w:val="00321DBF"/>
    <w:rsid w:val="003400CE"/>
    <w:rsid w:val="00340317"/>
    <w:rsid w:val="00342C97"/>
    <w:rsid w:val="003440C6"/>
    <w:rsid w:val="00346B6F"/>
    <w:rsid w:val="00350583"/>
    <w:rsid w:val="003513D7"/>
    <w:rsid w:val="0035228A"/>
    <w:rsid w:val="0035729A"/>
    <w:rsid w:val="00357C70"/>
    <w:rsid w:val="00367F02"/>
    <w:rsid w:val="00370801"/>
    <w:rsid w:val="00385AF4"/>
    <w:rsid w:val="003A1C58"/>
    <w:rsid w:val="003B4C9C"/>
    <w:rsid w:val="003C47B0"/>
    <w:rsid w:val="003C7A15"/>
    <w:rsid w:val="003D21C0"/>
    <w:rsid w:val="003E5647"/>
    <w:rsid w:val="004069CC"/>
    <w:rsid w:val="004134C7"/>
    <w:rsid w:val="00417C9B"/>
    <w:rsid w:val="00443BF6"/>
    <w:rsid w:val="0046107C"/>
    <w:rsid w:val="00463F51"/>
    <w:rsid w:val="004674A9"/>
    <w:rsid w:val="0047497F"/>
    <w:rsid w:val="00495A7D"/>
    <w:rsid w:val="004A33FB"/>
    <w:rsid w:val="004B10E6"/>
    <w:rsid w:val="004B5D7D"/>
    <w:rsid w:val="004B7DF9"/>
    <w:rsid w:val="004C7F8F"/>
    <w:rsid w:val="004D3159"/>
    <w:rsid w:val="004E07C6"/>
    <w:rsid w:val="004F51FC"/>
    <w:rsid w:val="00522CC3"/>
    <w:rsid w:val="0053268A"/>
    <w:rsid w:val="00537FC7"/>
    <w:rsid w:val="005404F4"/>
    <w:rsid w:val="005465C2"/>
    <w:rsid w:val="00552C97"/>
    <w:rsid w:val="00576674"/>
    <w:rsid w:val="00595778"/>
    <w:rsid w:val="005A3A52"/>
    <w:rsid w:val="005B7FD1"/>
    <w:rsid w:val="005C1F30"/>
    <w:rsid w:val="005C2592"/>
    <w:rsid w:val="005C31B7"/>
    <w:rsid w:val="005C50F5"/>
    <w:rsid w:val="005E1A60"/>
    <w:rsid w:val="005E6BAD"/>
    <w:rsid w:val="00600076"/>
    <w:rsid w:val="00611BFA"/>
    <w:rsid w:val="00634B39"/>
    <w:rsid w:val="00636460"/>
    <w:rsid w:val="00641E82"/>
    <w:rsid w:val="0064317A"/>
    <w:rsid w:val="006479DD"/>
    <w:rsid w:val="0066442A"/>
    <w:rsid w:val="006661CF"/>
    <w:rsid w:val="00676013"/>
    <w:rsid w:val="006834C1"/>
    <w:rsid w:val="00687260"/>
    <w:rsid w:val="00692C10"/>
    <w:rsid w:val="006B1961"/>
    <w:rsid w:val="006B4FD4"/>
    <w:rsid w:val="006C59F3"/>
    <w:rsid w:val="006E2ED3"/>
    <w:rsid w:val="006F336E"/>
    <w:rsid w:val="006F3D21"/>
    <w:rsid w:val="0070704E"/>
    <w:rsid w:val="007171F0"/>
    <w:rsid w:val="007205A0"/>
    <w:rsid w:val="0073064D"/>
    <w:rsid w:val="007324A7"/>
    <w:rsid w:val="00740997"/>
    <w:rsid w:val="00740EED"/>
    <w:rsid w:val="00756FB7"/>
    <w:rsid w:val="00776CD3"/>
    <w:rsid w:val="00780B9D"/>
    <w:rsid w:val="0078678F"/>
    <w:rsid w:val="007914DA"/>
    <w:rsid w:val="007A2305"/>
    <w:rsid w:val="007B699E"/>
    <w:rsid w:val="007C47F3"/>
    <w:rsid w:val="007D6326"/>
    <w:rsid w:val="00815D64"/>
    <w:rsid w:val="008263D9"/>
    <w:rsid w:val="00827346"/>
    <w:rsid w:val="00832486"/>
    <w:rsid w:val="00835910"/>
    <w:rsid w:val="00846C3B"/>
    <w:rsid w:val="00853F02"/>
    <w:rsid w:val="00854483"/>
    <w:rsid w:val="008554D4"/>
    <w:rsid w:val="0087021D"/>
    <w:rsid w:val="00871583"/>
    <w:rsid w:val="008815B0"/>
    <w:rsid w:val="00897B5D"/>
    <w:rsid w:val="008B65C6"/>
    <w:rsid w:val="008D5A23"/>
    <w:rsid w:val="008E1FD1"/>
    <w:rsid w:val="008F4DEC"/>
    <w:rsid w:val="008F7874"/>
    <w:rsid w:val="009037F4"/>
    <w:rsid w:val="0090692F"/>
    <w:rsid w:val="00911602"/>
    <w:rsid w:val="009201AF"/>
    <w:rsid w:val="009349EC"/>
    <w:rsid w:val="009368AE"/>
    <w:rsid w:val="0094045D"/>
    <w:rsid w:val="00943342"/>
    <w:rsid w:val="00947690"/>
    <w:rsid w:val="00951130"/>
    <w:rsid w:val="00954371"/>
    <w:rsid w:val="009563CF"/>
    <w:rsid w:val="00961B72"/>
    <w:rsid w:val="00974D4D"/>
    <w:rsid w:val="00985D1A"/>
    <w:rsid w:val="00986DF1"/>
    <w:rsid w:val="009B58F2"/>
    <w:rsid w:val="009B7782"/>
    <w:rsid w:val="009C09F6"/>
    <w:rsid w:val="009C4F61"/>
    <w:rsid w:val="009D49C4"/>
    <w:rsid w:val="009E538C"/>
    <w:rsid w:val="00A123BF"/>
    <w:rsid w:val="00A229A8"/>
    <w:rsid w:val="00A25CA9"/>
    <w:rsid w:val="00A449EB"/>
    <w:rsid w:val="00A66307"/>
    <w:rsid w:val="00A67B27"/>
    <w:rsid w:val="00A74B6E"/>
    <w:rsid w:val="00A808CE"/>
    <w:rsid w:val="00A91D35"/>
    <w:rsid w:val="00A9392E"/>
    <w:rsid w:val="00AA2267"/>
    <w:rsid w:val="00AA33A6"/>
    <w:rsid w:val="00AA4D9E"/>
    <w:rsid w:val="00AC43EF"/>
    <w:rsid w:val="00AD03A3"/>
    <w:rsid w:val="00AD1AB8"/>
    <w:rsid w:val="00AE342D"/>
    <w:rsid w:val="00AE3FA2"/>
    <w:rsid w:val="00AE714A"/>
    <w:rsid w:val="00B021EA"/>
    <w:rsid w:val="00B11196"/>
    <w:rsid w:val="00B1198D"/>
    <w:rsid w:val="00B26A0C"/>
    <w:rsid w:val="00B26EF9"/>
    <w:rsid w:val="00B30E45"/>
    <w:rsid w:val="00B3241C"/>
    <w:rsid w:val="00B34090"/>
    <w:rsid w:val="00B3708B"/>
    <w:rsid w:val="00B41C0E"/>
    <w:rsid w:val="00B80A89"/>
    <w:rsid w:val="00B87CA8"/>
    <w:rsid w:val="00BA2F17"/>
    <w:rsid w:val="00BC2ED5"/>
    <w:rsid w:val="00BC3EA1"/>
    <w:rsid w:val="00BD1431"/>
    <w:rsid w:val="00BE523E"/>
    <w:rsid w:val="00BF0DE9"/>
    <w:rsid w:val="00BF111E"/>
    <w:rsid w:val="00C02E68"/>
    <w:rsid w:val="00C050E7"/>
    <w:rsid w:val="00C15EDA"/>
    <w:rsid w:val="00C16C57"/>
    <w:rsid w:val="00C21D8A"/>
    <w:rsid w:val="00C23352"/>
    <w:rsid w:val="00C2370F"/>
    <w:rsid w:val="00C337C3"/>
    <w:rsid w:val="00C43501"/>
    <w:rsid w:val="00C46318"/>
    <w:rsid w:val="00C50D35"/>
    <w:rsid w:val="00C513AB"/>
    <w:rsid w:val="00C53C0A"/>
    <w:rsid w:val="00C558D8"/>
    <w:rsid w:val="00C65F5F"/>
    <w:rsid w:val="00C76400"/>
    <w:rsid w:val="00C87388"/>
    <w:rsid w:val="00C96442"/>
    <w:rsid w:val="00C967AE"/>
    <w:rsid w:val="00CA443B"/>
    <w:rsid w:val="00CB1B27"/>
    <w:rsid w:val="00CC476F"/>
    <w:rsid w:val="00CD3347"/>
    <w:rsid w:val="00CD7588"/>
    <w:rsid w:val="00CE4E5E"/>
    <w:rsid w:val="00D03309"/>
    <w:rsid w:val="00D033C5"/>
    <w:rsid w:val="00D05838"/>
    <w:rsid w:val="00D06AC6"/>
    <w:rsid w:val="00D074EF"/>
    <w:rsid w:val="00D158ED"/>
    <w:rsid w:val="00D15EA7"/>
    <w:rsid w:val="00D234C5"/>
    <w:rsid w:val="00D3600B"/>
    <w:rsid w:val="00D40745"/>
    <w:rsid w:val="00D45832"/>
    <w:rsid w:val="00D474D8"/>
    <w:rsid w:val="00D61DDE"/>
    <w:rsid w:val="00D70C60"/>
    <w:rsid w:val="00D7478A"/>
    <w:rsid w:val="00D80179"/>
    <w:rsid w:val="00D832C8"/>
    <w:rsid w:val="00D87D05"/>
    <w:rsid w:val="00D9552C"/>
    <w:rsid w:val="00D97F64"/>
    <w:rsid w:val="00DA2DE7"/>
    <w:rsid w:val="00DA2ED0"/>
    <w:rsid w:val="00DA53A3"/>
    <w:rsid w:val="00DB3EA2"/>
    <w:rsid w:val="00DC2146"/>
    <w:rsid w:val="00DC2DE0"/>
    <w:rsid w:val="00DC5213"/>
    <w:rsid w:val="00DD1B54"/>
    <w:rsid w:val="00DD20C7"/>
    <w:rsid w:val="00DE3B50"/>
    <w:rsid w:val="00DE58F3"/>
    <w:rsid w:val="00DE67E8"/>
    <w:rsid w:val="00DF4537"/>
    <w:rsid w:val="00E01D7E"/>
    <w:rsid w:val="00E07424"/>
    <w:rsid w:val="00E10845"/>
    <w:rsid w:val="00E1401E"/>
    <w:rsid w:val="00E2212A"/>
    <w:rsid w:val="00E270F4"/>
    <w:rsid w:val="00E328C4"/>
    <w:rsid w:val="00E419DC"/>
    <w:rsid w:val="00E424C1"/>
    <w:rsid w:val="00E47809"/>
    <w:rsid w:val="00E52020"/>
    <w:rsid w:val="00E64536"/>
    <w:rsid w:val="00E64613"/>
    <w:rsid w:val="00E712A3"/>
    <w:rsid w:val="00E95546"/>
    <w:rsid w:val="00EA04DF"/>
    <w:rsid w:val="00EA43F6"/>
    <w:rsid w:val="00EA5104"/>
    <w:rsid w:val="00EB002F"/>
    <w:rsid w:val="00EB1386"/>
    <w:rsid w:val="00EC0501"/>
    <w:rsid w:val="00EC0A66"/>
    <w:rsid w:val="00EC3F9B"/>
    <w:rsid w:val="00EC5C6D"/>
    <w:rsid w:val="00ED072A"/>
    <w:rsid w:val="00EE1213"/>
    <w:rsid w:val="00F01B72"/>
    <w:rsid w:val="00F065B4"/>
    <w:rsid w:val="00F14A49"/>
    <w:rsid w:val="00F218D2"/>
    <w:rsid w:val="00F26EA0"/>
    <w:rsid w:val="00F27076"/>
    <w:rsid w:val="00F354CD"/>
    <w:rsid w:val="00F36802"/>
    <w:rsid w:val="00F51117"/>
    <w:rsid w:val="00F67DB6"/>
    <w:rsid w:val="00F70062"/>
    <w:rsid w:val="00F77558"/>
    <w:rsid w:val="00F83DCC"/>
    <w:rsid w:val="00F91EDE"/>
    <w:rsid w:val="00F94227"/>
    <w:rsid w:val="00F97186"/>
    <w:rsid w:val="00FA157C"/>
    <w:rsid w:val="00FC34FF"/>
    <w:rsid w:val="00FC56CD"/>
    <w:rsid w:val="00FC62AC"/>
    <w:rsid w:val="00FC6CC3"/>
    <w:rsid w:val="00FC797B"/>
    <w:rsid w:val="00FD06E8"/>
    <w:rsid w:val="00FD10E1"/>
    <w:rsid w:val="00FD2277"/>
    <w:rsid w:val="00FD44AA"/>
    <w:rsid w:val="00FF4723"/>
    <w:rsid w:val="00FF740B"/>
    <w:rsid w:val="038DBE22"/>
    <w:rsid w:val="09D3DB04"/>
    <w:rsid w:val="0F872C88"/>
    <w:rsid w:val="131E58F9"/>
    <w:rsid w:val="134508C1"/>
    <w:rsid w:val="1E7E88C9"/>
    <w:rsid w:val="25708BF3"/>
    <w:rsid w:val="2734D21B"/>
    <w:rsid w:val="28AA4E86"/>
    <w:rsid w:val="2AF33006"/>
    <w:rsid w:val="345068FC"/>
    <w:rsid w:val="3E5FD6E0"/>
    <w:rsid w:val="4A950D87"/>
    <w:rsid w:val="5066C0CD"/>
    <w:rsid w:val="50B42540"/>
    <w:rsid w:val="58AEF0E4"/>
    <w:rsid w:val="63B25EB4"/>
    <w:rsid w:val="66EF94CE"/>
    <w:rsid w:val="6BCD9A29"/>
    <w:rsid w:val="7445E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15EF9"/>
  <w15:chartTrackingRefBased/>
  <w15:docId w15:val="{5642161A-25C3-4C4A-A36F-F1F52683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FA2"/>
    <w:rPr>
      <w:kern w:val="0"/>
      <w14:ligatures w14:val="none"/>
    </w:rPr>
  </w:style>
  <w:style w:type="paragraph" w:styleId="Antrat1">
    <w:name w:val="heading 1"/>
    <w:basedOn w:val="prastasis"/>
    <w:next w:val="prastasis"/>
    <w:link w:val="Antrat1Diagrama"/>
    <w:uiPriority w:val="9"/>
    <w:qFormat/>
    <w:rsid w:val="00AE3FA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E3FA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E3FA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E3FA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E3FA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E3FA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E3FA2"/>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E3FA2"/>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E3FA2"/>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F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F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F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F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F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F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F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F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F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F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E3F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FA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E3F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FA2"/>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E3FA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E3FA2"/>
    <w:pPr>
      <w:ind w:left="720"/>
      <w:contextualSpacing/>
    </w:pPr>
    <w:rPr>
      <w:kern w:val="2"/>
      <w14:ligatures w14:val="standardContextual"/>
    </w:rPr>
  </w:style>
  <w:style w:type="character" w:styleId="Rykuspabraukimas">
    <w:name w:val="Intense Emphasis"/>
    <w:basedOn w:val="Numatytasispastraiposriftas"/>
    <w:uiPriority w:val="21"/>
    <w:qFormat/>
    <w:rsid w:val="00AE3FA2"/>
    <w:rPr>
      <w:i/>
      <w:iCs/>
      <w:color w:val="0F4761" w:themeColor="accent1" w:themeShade="BF"/>
    </w:rPr>
  </w:style>
  <w:style w:type="paragraph" w:styleId="Iskirtacitata">
    <w:name w:val="Intense Quote"/>
    <w:basedOn w:val="prastasis"/>
    <w:next w:val="prastasis"/>
    <w:link w:val="IskirtacitataDiagrama"/>
    <w:uiPriority w:val="30"/>
    <w:qFormat/>
    <w:rsid w:val="00AE3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E3FA2"/>
    <w:rPr>
      <w:i/>
      <w:iCs/>
      <w:color w:val="0F4761" w:themeColor="accent1" w:themeShade="BF"/>
    </w:rPr>
  </w:style>
  <w:style w:type="character" w:styleId="Rykinuoroda">
    <w:name w:val="Intense Reference"/>
    <w:basedOn w:val="Numatytasispastraiposriftas"/>
    <w:uiPriority w:val="32"/>
    <w:qFormat/>
    <w:rsid w:val="00AE3FA2"/>
    <w:rPr>
      <w:b/>
      <w:bCs/>
      <w:smallCaps/>
      <w:color w:val="0F4761" w:themeColor="accent1" w:themeShade="BF"/>
      <w:spacing w:val="5"/>
    </w:rPr>
  </w:style>
  <w:style w:type="table" w:styleId="Lentelstinklelis">
    <w:name w:val="Table Grid"/>
    <w:basedOn w:val="prastojilentel"/>
    <w:uiPriority w:val="39"/>
    <w:rsid w:val="00AE3FA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AE3FA2"/>
    <w:rPr>
      <w:color w:val="467886" w:themeColor="hyperlink"/>
      <w:u w:val="single"/>
    </w:rPr>
  </w:style>
  <w:style w:type="paragraph" w:styleId="Porat">
    <w:name w:val="footer"/>
    <w:basedOn w:val="prastasis"/>
    <w:link w:val="PoratDiagrama"/>
    <w:unhideWhenUsed/>
    <w:rsid w:val="00AE3FA2"/>
    <w:pPr>
      <w:tabs>
        <w:tab w:val="center" w:pos="4819"/>
        <w:tab w:val="right" w:pos="9638"/>
      </w:tabs>
      <w:spacing w:after="0" w:line="240" w:lineRule="auto"/>
    </w:pPr>
  </w:style>
  <w:style w:type="character" w:customStyle="1" w:styleId="PoratDiagrama">
    <w:name w:val="Poraštė Diagrama"/>
    <w:basedOn w:val="Numatytasispastraiposriftas"/>
    <w:link w:val="Porat"/>
    <w:rsid w:val="00AE3FA2"/>
    <w:rPr>
      <w:kern w:val="0"/>
      <w14:ligatures w14:val="none"/>
    </w:rPr>
  </w:style>
  <w:style w:type="character" w:styleId="Grietas">
    <w:name w:val="Strong"/>
    <w:qFormat/>
    <w:rsid w:val="00AE3FA2"/>
    <w:rPr>
      <w:b/>
      <w:bCs/>
    </w:rPr>
  </w:style>
  <w:style w:type="paragraph" w:customStyle="1" w:styleId="Body2">
    <w:name w:val="Body 2"/>
    <w:rsid w:val="00C21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Pataisymai">
    <w:name w:val="Revision"/>
    <w:hidden/>
    <w:uiPriority w:val="99"/>
    <w:semiHidden/>
    <w:rsid w:val="003C7A15"/>
    <w:pPr>
      <w:spacing w:after="0" w:line="240" w:lineRule="auto"/>
    </w:pPr>
    <w:rPr>
      <w:kern w:val="0"/>
      <w14:ligatures w14:val="none"/>
    </w:rPr>
  </w:style>
  <w:style w:type="paragraph" w:styleId="Puslapioinaostekstas">
    <w:name w:val="footnote text"/>
    <w:basedOn w:val="prastasis"/>
    <w:link w:val="PuslapioinaostekstasDiagrama"/>
    <w:uiPriority w:val="99"/>
    <w:semiHidden/>
    <w:unhideWhenUsed/>
    <w:rsid w:val="00B021E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021EA"/>
    <w:rPr>
      <w:kern w:val="0"/>
      <w:sz w:val="20"/>
      <w:szCs w:val="20"/>
      <w14:ligatures w14:val="none"/>
    </w:rPr>
  </w:style>
  <w:style w:type="character" w:styleId="Puslapioinaosnuoroda">
    <w:name w:val="footnote reference"/>
    <w:basedOn w:val="Numatytasispastraiposriftas"/>
    <w:uiPriority w:val="99"/>
    <w:semiHidden/>
    <w:unhideWhenUsed/>
    <w:rsid w:val="00B021EA"/>
    <w:rPr>
      <w:vertAlign w:val="superscript"/>
    </w:rPr>
  </w:style>
  <w:style w:type="paragraph" w:styleId="Antrats">
    <w:name w:val="header"/>
    <w:basedOn w:val="prastasis"/>
    <w:link w:val="AntratsDiagrama"/>
    <w:uiPriority w:val="99"/>
    <w:unhideWhenUsed/>
    <w:rsid w:val="00B021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21EA"/>
    <w:rPr>
      <w:kern w:val="0"/>
      <w14:ligatures w14:val="none"/>
    </w:rPr>
  </w:style>
  <w:style w:type="character" w:styleId="Neapdorotaspaminjimas">
    <w:name w:val="Unresolved Mention"/>
    <w:basedOn w:val="Numatytasispastraiposriftas"/>
    <w:uiPriority w:val="99"/>
    <w:semiHidden/>
    <w:unhideWhenUsed/>
    <w:rsid w:val="005C50F5"/>
    <w:rPr>
      <w:color w:val="605E5C"/>
      <w:shd w:val="clear" w:color="auto" w:fill="E1DFDD"/>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26A0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26A0C"/>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26A0C"/>
  </w:style>
  <w:style w:type="character" w:customStyle="1" w:styleId="Style29">
    <w:name w:val="Style29"/>
    <w:basedOn w:val="Numatytasispastraiposriftas"/>
    <w:uiPriority w:val="1"/>
    <w:rsid w:val="00443BF6"/>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vsc.lrv.lt/uploads/nvsc/documents/files/Pavirsiu%20dezinfekcijos%20rekomendacijos_NVSC_%202-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ausra.markevicien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97C31-6475-4011-874A-0CC4F2CCE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2679B-2A44-4C61-AC03-9E9DC7E56F73}">
  <ds:schemaRefs>
    <ds:schemaRef ds:uri="http://schemas.openxmlformats.org/officeDocument/2006/bibliography"/>
  </ds:schemaRefs>
</ds:datastoreItem>
</file>

<file path=customXml/itemProps3.xml><?xml version="1.0" encoding="utf-8"?>
<ds:datastoreItem xmlns:ds="http://schemas.openxmlformats.org/officeDocument/2006/customXml" ds:itemID="{044B901C-7DFF-4111-AA37-72EC9F33DB0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B7F086F-42CF-4F3F-ABD3-D2DE696D8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715</Words>
  <Characters>4778</Characters>
  <Application>Microsoft Office Word</Application>
  <DocSecurity>0</DocSecurity>
  <Lines>154</Lines>
  <Paragraphs>60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48</cp:revision>
  <dcterms:created xsi:type="dcterms:W3CDTF">2024-12-11T11:22:00Z</dcterms:created>
  <dcterms:modified xsi:type="dcterms:W3CDTF">2025-10-23T06:29:00Z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