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9E7340" w:rsidRDefault="000F17D6" w:rsidP="000F17D6">
      <w:pPr>
        <w:jc w:val="right"/>
        <w:rPr>
          <w:rFonts w:eastAsia="STCaiyun"/>
          <w:lang w:val="en-US"/>
        </w:rPr>
      </w:pPr>
    </w:p>
    <w:p w14:paraId="61FAB302" w14:textId="77777777" w:rsidR="000F17D6" w:rsidRPr="00E76760" w:rsidRDefault="000F17D6" w:rsidP="000F17D6">
      <w:pPr>
        <w:rPr>
          <w:rFonts w:eastAsia="STCaiyun"/>
          <w:i/>
          <w:iCs/>
        </w:rPr>
      </w:pPr>
      <w:r w:rsidRPr="00E76760">
        <w:rPr>
          <w:rFonts w:eastAsia="STCaiyun"/>
          <w:i/>
          <w:iCs/>
        </w:rPr>
        <w:t>Tiekėjams</w:t>
      </w:r>
    </w:p>
    <w:p w14:paraId="6714EE43" w14:textId="77777777" w:rsidR="00F50ED1" w:rsidRPr="00E76760" w:rsidRDefault="00F50ED1" w:rsidP="000F17D6">
      <w:pPr>
        <w:rPr>
          <w:rFonts w:eastAsia="STCaiyun"/>
          <w:i/>
          <w:iCs/>
        </w:rPr>
      </w:pPr>
    </w:p>
    <w:p w14:paraId="69B240AC" w14:textId="77777777" w:rsidR="000F17D6" w:rsidRPr="00E76760" w:rsidRDefault="000F17D6" w:rsidP="000F17D6">
      <w:pPr>
        <w:rPr>
          <w:rFonts w:eastAsia="STCaiyun"/>
          <w:i/>
          <w:iCs/>
        </w:rPr>
      </w:pPr>
      <w:r w:rsidRPr="00E76760">
        <w:rPr>
          <w:rFonts w:eastAsia="STCaiyun"/>
          <w:i/>
          <w:iCs/>
        </w:rPr>
        <w:t>Siunčiama CVP IS priemonėmis</w:t>
      </w:r>
    </w:p>
    <w:p w14:paraId="7667E45E" w14:textId="77777777" w:rsidR="000F17D6" w:rsidRPr="00E76760" w:rsidRDefault="000F17D6" w:rsidP="000F17D6">
      <w:pPr>
        <w:rPr>
          <w:rFonts w:eastAsia="STCaiyun"/>
          <w:b/>
          <w:bCs/>
        </w:rPr>
      </w:pPr>
    </w:p>
    <w:p w14:paraId="0AB0DAD8" w14:textId="77777777" w:rsidR="000F17D6" w:rsidRPr="00E76760" w:rsidRDefault="000F17D6" w:rsidP="000F17D6">
      <w:pPr>
        <w:rPr>
          <w:rFonts w:eastAsia="STCaiyun"/>
          <w:b/>
          <w:bCs/>
        </w:rPr>
      </w:pPr>
    </w:p>
    <w:p w14:paraId="3DC84B23" w14:textId="064DD9E7" w:rsidR="000F17D6" w:rsidRPr="00E76760" w:rsidRDefault="000F17D6" w:rsidP="000C2477">
      <w:pPr>
        <w:jc w:val="both"/>
        <w:rPr>
          <w:rFonts w:eastAsia="STCaiyun"/>
          <w:b/>
          <w:bCs/>
        </w:rPr>
      </w:pPr>
      <w:r w:rsidRPr="00E76760">
        <w:rPr>
          <w:rFonts w:eastAsia="STCaiyun"/>
          <w:b/>
          <w:bCs/>
        </w:rPr>
        <w:t xml:space="preserve">DĖL </w:t>
      </w:r>
      <w:r w:rsidR="000C2477" w:rsidRPr="00E76760">
        <w:rPr>
          <w:rFonts w:eastAsia="STCaiyun"/>
          <w:b/>
          <w:bCs/>
        </w:rPr>
        <w:t>PIRKIMO DOKUMENTŲ TIKSLINIMO SAVO INICIATYVA</w:t>
      </w:r>
    </w:p>
    <w:p w14:paraId="47F7602C" w14:textId="77777777" w:rsidR="000F17D6" w:rsidRPr="00E76760" w:rsidRDefault="000F17D6" w:rsidP="0023122B">
      <w:pPr>
        <w:rPr>
          <w:rFonts w:eastAsia="STCaiyun"/>
          <w:b/>
          <w:bCs/>
        </w:rPr>
      </w:pPr>
    </w:p>
    <w:p w14:paraId="0B411140" w14:textId="77AACF03" w:rsidR="005F7984" w:rsidRPr="00E76760" w:rsidRDefault="004724B7" w:rsidP="000C3954">
      <w:pPr>
        <w:spacing w:line="288" w:lineRule="auto"/>
        <w:ind w:firstLine="720"/>
        <w:jc w:val="both"/>
        <w:rPr>
          <w:rFonts w:eastAsia="STCaiyun"/>
        </w:rPr>
      </w:pPr>
      <w:r w:rsidRPr="00E76760">
        <w:rPr>
          <w:rFonts w:eastAsia="STCaiyun"/>
        </w:rPr>
        <w:t xml:space="preserve">Viešoji įstaiga CPO LT (toliau – CPO LT), </w:t>
      </w:r>
      <w:bookmarkStart w:id="0" w:name="_Hlk120190959"/>
      <w:r w:rsidRPr="00E76760">
        <w:rPr>
          <w:rFonts w:eastAsia="STCaiyun"/>
        </w:rPr>
        <w:t xml:space="preserve">vykdydama viešąjį pirkimą </w:t>
      </w:r>
      <w:r w:rsidR="0023122B" w:rsidRPr="00E76760">
        <w:rPr>
          <w:rFonts w:eastAsia="STCaiyun"/>
          <w:b/>
          <w:bCs/>
          <w:i/>
          <w:iCs/>
        </w:rPr>
        <w:t>„</w:t>
      </w:r>
      <w:r w:rsidR="00A9654F" w:rsidRPr="00E76760">
        <w:rPr>
          <w:b/>
          <w:bCs/>
        </w:rPr>
        <w:t>Teisinės duomenų bazės prenumerata</w:t>
      </w:r>
      <w:r w:rsidR="006F5063" w:rsidRPr="00E76760">
        <w:rPr>
          <w:rFonts w:eastAsia="STCaiyun"/>
          <w:b/>
          <w:bCs/>
          <w:i/>
          <w:iCs/>
        </w:rPr>
        <w:t>“</w:t>
      </w:r>
      <w:r w:rsidR="006F5063" w:rsidRPr="00E76760">
        <w:rPr>
          <w:rFonts w:eastAsia="STCaiyun"/>
        </w:rPr>
        <w:t>  </w:t>
      </w:r>
      <w:r w:rsidR="00A9654F" w:rsidRPr="00E76760">
        <w:rPr>
          <w:rFonts w:eastAsia="STCaiyun"/>
        </w:rPr>
        <w:t>skelbiamos apklausos</w:t>
      </w:r>
      <w:r w:rsidR="00FC6AE4" w:rsidRPr="00E76760">
        <w:rPr>
          <w:rFonts w:eastAsia="STCaiyun"/>
        </w:rPr>
        <w:t xml:space="preserve"> būdu (pirkimo</w:t>
      </w:r>
      <w:r w:rsidR="006F5063" w:rsidRPr="00E76760">
        <w:rPr>
          <w:rFonts w:eastAsia="STCaiyun"/>
        </w:rPr>
        <w:t xml:space="preserve"> Nr.</w:t>
      </w:r>
      <w:r w:rsidR="00FC6AE4" w:rsidRPr="00E76760">
        <w:rPr>
          <w:rFonts w:eastAsia="STCaiyun"/>
        </w:rPr>
        <w:t xml:space="preserve"> </w:t>
      </w:r>
      <w:r w:rsidR="00EE5C12" w:rsidRPr="00E76760">
        <w:rPr>
          <w:rFonts w:eastAsia="STCaiyun"/>
        </w:rPr>
        <w:t>4932960</w:t>
      </w:r>
      <w:r w:rsidR="00FC6AE4" w:rsidRPr="00E76760">
        <w:rPr>
          <w:rFonts w:eastAsia="STCaiyun"/>
        </w:rPr>
        <w:t>, toliau – Pirkimas)</w:t>
      </w:r>
      <w:r w:rsidRPr="00E76760">
        <w:rPr>
          <w:rFonts w:eastAsia="STCaiyun"/>
        </w:rPr>
        <w:t xml:space="preserve">, </w:t>
      </w:r>
      <w:bookmarkEnd w:id="0"/>
      <w:r w:rsidR="00442B1B" w:rsidRPr="00E76760">
        <w:rPr>
          <w:rFonts w:eastAsia="STCaiyun"/>
        </w:rPr>
        <w:t>informuoja,</w:t>
      </w:r>
      <w:r w:rsidR="00B20052" w:rsidRPr="00E76760">
        <w:rPr>
          <w:rFonts w:eastAsia="STCaiyun"/>
        </w:rPr>
        <w:t xml:space="preserve"> kad</w:t>
      </w:r>
      <w:r w:rsidR="00442B1B" w:rsidRPr="00E76760">
        <w:rPr>
          <w:rFonts w:eastAsia="STCaiyun"/>
        </w:rPr>
        <w:t xml:space="preserve"> vadovaudamasi </w:t>
      </w:r>
      <w:r w:rsidR="008F2BE0" w:rsidRPr="00E76760">
        <w:rPr>
          <w:rFonts w:eastAsia="STCaiyun"/>
        </w:rPr>
        <w:t xml:space="preserve">LR </w:t>
      </w:r>
      <w:r w:rsidR="004E3751" w:rsidRPr="00E76760">
        <w:rPr>
          <w:rFonts w:eastAsia="STCaiyun"/>
        </w:rPr>
        <w:t>V</w:t>
      </w:r>
      <w:r w:rsidR="008F2BE0" w:rsidRPr="00E76760">
        <w:rPr>
          <w:rFonts w:eastAsia="STCaiyun"/>
        </w:rPr>
        <w:t>iešųjų pirkimų įstatymo</w:t>
      </w:r>
      <w:r w:rsidR="00D81EC0" w:rsidRPr="00E76760">
        <w:rPr>
          <w:rFonts w:eastAsia="STCaiyun"/>
        </w:rPr>
        <w:t xml:space="preserve"> (toliau – VPĮ)</w:t>
      </w:r>
      <w:r w:rsidR="008F2BE0" w:rsidRPr="00E76760">
        <w:rPr>
          <w:rFonts w:eastAsia="STCaiyun"/>
        </w:rPr>
        <w:t xml:space="preserve"> </w:t>
      </w:r>
      <w:r w:rsidR="00442B1B" w:rsidRPr="00E76760">
        <w:rPr>
          <w:rFonts w:eastAsia="STCaiyun"/>
        </w:rPr>
        <w:t xml:space="preserve">36 str. </w:t>
      </w:r>
      <w:r w:rsidR="00B20052" w:rsidRPr="00E76760">
        <w:rPr>
          <w:rFonts w:eastAsia="STCaiyun"/>
        </w:rPr>
        <w:t>6</w:t>
      </w:r>
      <w:r w:rsidR="00442B1B" w:rsidRPr="00E76760">
        <w:rPr>
          <w:rFonts w:eastAsia="STCaiyun"/>
        </w:rPr>
        <w:t xml:space="preserve"> d. ir Pirkimo dokumentų</w:t>
      </w:r>
      <w:r w:rsidR="00337BD1">
        <w:rPr>
          <w:rFonts w:eastAsia="STCaiyun"/>
        </w:rPr>
        <w:t xml:space="preserve"> B dalies</w:t>
      </w:r>
      <w:r w:rsidR="00442B1B" w:rsidRPr="00E76760">
        <w:rPr>
          <w:rFonts w:eastAsia="STCaiyun"/>
        </w:rPr>
        <w:t xml:space="preserve"> Bendrųjų sąlygų </w:t>
      </w:r>
      <w:r w:rsidR="00EE5C12" w:rsidRPr="00E76760">
        <w:rPr>
          <w:rFonts w:eastAsia="STCaiyun"/>
        </w:rPr>
        <w:t>7.3</w:t>
      </w:r>
      <w:r w:rsidR="00442B1B" w:rsidRPr="00E76760">
        <w:rPr>
          <w:rFonts w:eastAsia="STCaiyun"/>
        </w:rPr>
        <w:t xml:space="preserve"> p.,</w:t>
      </w:r>
      <w:r w:rsidR="005A6BC8" w:rsidRPr="00E76760">
        <w:rPr>
          <w:rFonts w:eastAsia="STCaiyun"/>
        </w:rPr>
        <w:t xml:space="preserve"> </w:t>
      </w:r>
      <w:r w:rsidR="00552A50" w:rsidRPr="00E76760">
        <w:rPr>
          <w:rFonts w:eastAsia="STCaiyun"/>
        </w:rPr>
        <w:t>tikslina</w:t>
      </w:r>
      <w:r w:rsidR="00771E5E" w:rsidRPr="00E76760">
        <w:rPr>
          <w:rFonts w:eastAsia="STCaiyun"/>
        </w:rPr>
        <w:t xml:space="preserve"> </w:t>
      </w:r>
      <w:r w:rsidR="005F7984" w:rsidRPr="00E76760">
        <w:rPr>
          <w:rFonts w:eastAsia="STCaiyun"/>
        </w:rPr>
        <w:t>Pirkimo dokumentus</w:t>
      </w:r>
      <w:r w:rsidR="00775018" w:rsidRPr="00E76760">
        <w:rPr>
          <w:rFonts w:eastAsia="STCaiyun"/>
        </w:rPr>
        <w:t>, t.</w:t>
      </w:r>
      <w:r w:rsidR="00E720FC" w:rsidRPr="00E76760">
        <w:rPr>
          <w:rFonts w:eastAsia="STCaiyun"/>
        </w:rPr>
        <w:t xml:space="preserve"> </w:t>
      </w:r>
      <w:r w:rsidR="00775018" w:rsidRPr="00E76760">
        <w:rPr>
          <w:rFonts w:eastAsia="STCaiyun"/>
        </w:rPr>
        <w:t>y.</w:t>
      </w:r>
      <w:r w:rsidR="005F7984" w:rsidRPr="00E76760">
        <w:rPr>
          <w:rFonts w:eastAsia="STCaiyun"/>
        </w:rPr>
        <w:t xml:space="preserve"> </w:t>
      </w:r>
      <w:r w:rsidR="00771E5E" w:rsidRPr="00E76760">
        <w:rPr>
          <w:rFonts w:eastAsia="STCaiyun"/>
        </w:rPr>
        <w:t>papildo</w:t>
      </w:r>
      <w:r w:rsidR="005F7984" w:rsidRPr="00E76760">
        <w:rPr>
          <w:rFonts w:eastAsia="STCaiyun"/>
        </w:rPr>
        <w:t xml:space="preserve"> </w:t>
      </w:r>
      <w:r w:rsidR="00870412" w:rsidRPr="00E76760">
        <w:rPr>
          <w:rFonts w:eastAsia="STCaiyun"/>
          <w:b/>
          <w:bCs/>
        </w:rPr>
        <w:t>Sutarties sp</w:t>
      </w:r>
      <w:r w:rsidR="00032CA3" w:rsidRPr="00E76760">
        <w:rPr>
          <w:rFonts w:eastAsia="STCaiyun"/>
          <w:b/>
          <w:bCs/>
        </w:rPr>
        <w:t xml:space="preserve">ecialiųjų sąlygų 6 </w:t>
      </w:r>
      <w:r w:rsidR="004F05F3" w:rsidRPr="00E76760">
        <w:rPr>
          <w:rFonts w:eastAsia="STCaiyun"/>
          <w:b/>
          <w:bCs/>
        </w:rPr>
        <w:t>skyrių</w:t>
      </w:r>
      <w:r w:rsidR="00032CA3" w:rsidRPr="00E76760">
        <w:rPr>
          <w:rFonts w:eastAsia="STCaiyun"/>
          <w:b/>
          <w:bCs/>
        </w:rPr>
        <w:t xml:space="preserve"> </w:t>
      </w:r>
      <w:r w:rsidR="005F7984" w:rsidRPr="00E76760">
        <w:rPr>
          <w:rFonts w:eastAsia="STCaiyun"/>
          <w:b/>
          <w:bCs/>
        </w:rPr>
        <w:t>sekančiai</w:t>
      </w:r>
      <w:r w:rsidR="004F05F3" w:rsidRPr="00E76760">
        <w:rPr>
          <w:rFonts w:eastAsia="STCaiyun"/>
          <w:b/>
          <w:bCs/>
        </w:rPr>
        <w:t>s naujais 6.4 ir 6.5 punktais</w:t>
      </w:r>
      <w:r w:rsidR="00F3573A" w:rsidRPr="00E76760">
        <w:rPr>
          <w:rFonts w:eastAsia="STCaiyun"/>
          <w:b/>
          <w:bCs/>
        </w:rPr>
        <w:t xml:space="preserve"> (</w:t>
      </w:r>
      <w:r w:rsidR="00EC776D" w:rsidRPr="00E76760">
        <w:rPr>
          <w:rFonts w:eastAsia="STCaiyun"/>
          <w:b/>
          <w:bCs/>
        </w:rPr>
        <w:t>pažymėti geltonai)</w:t>
      </w:r>
      <w:r w:rsidR="004F05F3" w:rsidRPr="00E76760">
        <w:rPr>
          <w:rFonts w:eastAsia="STCaiyun"/>
          <w:b/>
          <w:bCs/>
        </w:rPr>
        <w:t>:</w:t>
      </w:r>
    </w:p>
    <w:tbl>
      <w:tblPr>
        <w:tblW w:w="1016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1"/>
        <w:gridCol w:w="6441"/>
        <w:gridCol w:w="9"/>
      </w:tblGrid>
      <w:tr w:rsidR="00FB6BDB" w:rsidRPr="00E76760" w14:paraId="2F82C980" w14:textId="77777777" w:rsidTr="00FB6BDB">
        <w:trPr>
          <w:trHeight w:val="300"/>
        </w:trPr>
        <w:tc>
          <w:tcPr>
            <w:tcW w:w="10161" w:type="dxa"/>
            <w:gridSpan w:val="3"/>
          </w:tcPr>
          <w:p w14:paraId="0478F605" w14:textId="14212265" w:rsidR="00FB6BDB" w:rsidRPr="00E76760" w:rsidRDefault="00FB6BDB" w:rsidP="00C06DCF">
            <w:pPr>
              <w:jc w:val="center"/>
              <w:rPr>
                <w:b/>
                <w:kern w:val="2"/>
              </w:rPr>
            </w:pPr>
            <w:r w:rsidRPr="00E76760">
              <w:rPr>
                <w:b/>
                <w:kern w:val="2"/>
              </w:rPr>
              <w:t>6. PASLAUGŲ KOKYBĖ</w:t>
            </w:r>
            <w:r w:rsidR="0049436F">
              <w:rPr>
                <w:b/>
                <w:kern w:val="2"/>
              </w:rPr>
              <w:t>,</w:t>
            </w:r>
            <w:r w:rsidRPr="00E76760">
              <w:rPr>
                <w:b/>
                <w:kern w:val="2"/>
              </w:rPr>
              <w:t xml:space="preserve"> GARANTINIAI </w:t>
            </w:r>
            <w:r w:rsidR="0049436F" w:rsidRPr="00C24F60">
              <w:rPr>
                <w:b/>
                <w:kern w:val="2"/>
                <w:highlight w:val="yellow"/>
              </w:rPr>
              <w:t>IR KITI</w:t>
            </w:r>
            <w:r w:rsidR="0049436F">
              <w:rPr>
                <w:b/>
                <w:kern w:val="2"/>
              </w:rPr>
              <w:t xml:space="preserve"> </w:t>
            </w:r>
            <w:r w:rsidRPr="00E76760">
              <w:rPr>
                <w:b/>
                <w:kern w:val="2"/>
              </w:rPr>
              <w:t>ĮSIPAREIGOJIMAI</w:t>
            </w:r>
          </w:p>
        </w:tc>
      </w:tr>
      <w:tr w:rsidR="00FB6BDB" w:rsidRPr="00E76760" w14:paraId="31DEDB8E" w14:textId="77777777" w:rsidTr="00FB6BDB">
        <w:trPr>
          <w:gridAfter w:val="1"/>
          <w:wAfter w:w="9" w:type="dxa"/>
          <w:trHeight w:val="300"/>
        </w:trPr>
        <w:tc>
          <w:tcPr>
            <w:tcW w:w="3711" w:type="dxa"/>
          </w:tcPr>
          <w:p w14:paraId="4779095E" w14:textId="77777777" w:rsidR="00FB6BDB" w:rsidRPr="00E76760" w:rsidRDefault="00FB6BDB" w:rsidP="00C06DCF">
            <w:pPr>
              <w:rPr>
                <w:b/>
                <w:kern w:val="2"/>
              </w:rPr>
            </w:pPr>
            <w:r w:rsidRPr="00E76760">
              <w:rPr>
                <w:b/>
                <w:kern w:val="2"/>
              </w:rPr>
              <w:t>6.1. Garantinis terminas</w:t>
            </w:r>
          </w:p>
        </w:tc>
        <w:tc>
          <w:tcPr>
            <w:tcW w:w="6441" w:type="dxa"/>
          </w:tcPr>
          <w:p w14:paraId="09693B23" w14:textId="77777777" w:rsidR="00FB6BDB" w:rsidRPr="00E76760" w:rsidRDefault="00FB6BDB" w:rsidP="00C06DCF">
            <w:pPr>
              <w:rPr>
                <w:kern w:val="2"/>
              </w:rPr>
            </w:pPr>
            <w:r w:rsidRPr="00E76760">
              <w:rPr>
                <w:kern w:val="2"/>
              </w:rPr>
              <w:t>Netaikoma</w:t>
            </w:r>
          </w:p>
          <w:p w14:paraId="250E54FB" w14:textId="77777777" w:rsidR="00FB6BDB" w:rsidRPr="00E76760" w:rsidRDefault="00FB6BDB" w:rsidP="00C06DCF"/>
        </w:tc>
      </w:tr>
      <w:tr w:rsidR="00FB6BDB" w:rsidRPr="00E76760" w14:paraId="48633D8E" w14:textId="77777777" w:rsidTr="00FB6BDB">
        <w:trPr>
          <w:gridAfter w:val="1"/>
          <w:wAfter w:w="9" w:type="dxa"/>
          <w:trHeight w:val="300"/>
        </w:trPr>
        <w:tc>
          <w:tcPr>
            <w:tcW w:w="3711" w:type="dxa"/>
          </w:tcPr>
          <w:p w14:paraId="4D999D2B" w14:textId="77777777" w:rsidR="00FB6BDB" w:rsidRPr="00E76760" w:rsidRDefault="00FB6BDB" w:rsidP="00C06DCF">
            <w:pPr>
              <w:rPr>
                <w:b/>
                <w:kern w:val="2"/>
                <w:highlight w:val="yellow"/>
              </w:rPr>
            </w:pPr>
            <w:r w:rsidRPr="00E76760">
              <w:rPr>
                <w:b/>
              </w:rPr>
              <w:t>6.2. Terminas Paslaugų trūkumams pašalinti</w:t>
            </w:r>
          </w:p>
        </w:tc>
        <w:tc>
          <w:tcPr>
            <w:tcW w:w="6441" w:type="dxa"/>
          </w:tcPr>
          <w:p w14:paraId="192F5882" w14:textId="77777777" w:rsidR="00FB6BDB" w:rsidRPr="00E76760" w:rsidRDefault="00FB6BDB" w:rsidP="00C06DCF">
            <w:pPr>
              <w:jc w:val="both"/>
              <w:rPr>
                <w:kern w:val="2"/>
              </w:rPr>
            </w:pPr>
            <w:r w:rsidRPr="00E76760">
              <w:rPr>
                <w:kern w:val="2"/>
              </w:rPr>
              <w:t>Tiekėjas įsipareigoja ne vėliau kaip per 1 (vieną) darbo dieną nuo rašytinės pretenzijos gavimo dienos savo lėšomis pašalinti Paslaugų trūkumus – Pirkėjo pastebėtus sutrikimus bei klaidas Duomenų bazėje, jeigu dėl jų Pirkėjas negali naudotis Duomenų bazės galimybėmis, ir jeigu šie trūkumai atsirado dėl Tiekėjo kaltės.</w:t>
            </w:r>
          </w:p>
        </w:tc>
      </w:tr>
      <w:tr w:rsidR="00FB6BDB" w:rsidRPr="00E76760" w14:paraId="7AA12AF5" w14:textId="77777777" w:rsidTr="00FB6BDB">
        <w:trPr>
          <w:gridAfter w:val="1"/>
          <w:wAfter w:w="9" w:type="dxa"/>
          <w:trHeight w:val="300"/>
        </w:trPr>
        <w:tc>
          <w:tcPr>
            <w:tcW w:w="3711" w:type="dxa"/>
          </w:tcPr>
          <w:p w14:paraId="223D519F" w14:textId="77777777" w:rsidR="00FB6BDB" w:rsidRPr="00E76760" w:rsidRDefault="00FB6BDB" w:rsidP="00C06DCF">
            <w:pPr>
              <w:rPr>
                <w:b/>
              </w:rPr>
            </w:pPr>
            <w:r w:rsidRPr="00E76760">
              <w:rPr>
                <w:b/>
              </w:rPr>
              <w:t>6.3. Kokybinių kriterijų įgyvendinimo ir tikrinimo tvarka</w:t>
            </w:r>
          </w:p>
        </w:tc>
        <w:tc>
          <w:tcPr>
            <w:tcW w:w="6441" w:type="dxa"/>
          </w:tcPr>
          <w:p w14:paraId="2570FCDB" w14:textId="77777777" w:rsidR="00FB6BDB" w:rsidRPr="00E76760" w:rsidRDefault="00FB6BDB" w:rsidP="00C06DCF">
            <w:pPr>
              <w:rPr>
                <w:kern w:val="2"/>
              </w:rPr>
            </w:pPr>
            <w:r w:rsidRPr="00E76760">
              <w:rPr>
                <w:kern w:val="2"/>
              </w:rPr>
              <w:t xml:space="preserve">Netaikoma </w:t>
            </w:r>
          </w:p>
        </w:tc>
      </w:tr>
      <w:tr w:rsidR="0049436F" w:rsidRPr="00E76760" w14:paraId="633A11F6" w14:textId="77777777" w:rsidTr="00FB6BDB">
        <w:trPr>
          <w:gridAfter w:val="1"/>
          <w:wAfter w:w="9" w:type="dxa"/>
          <w:trHeight w:val="300"/>
        </w:trPr>
        <w:tc>
          <w:tcPr>
            <w:tcW w:w="3711" w:type="dxa"/>
          </w:tcPr>
          <w:p w14:paraId="13F9EB33" w14:textId="77777777" w:rsidR="0049436F" w:rsidRPr="00E76760" w:rsidRDefault="0049436F" w:rsidP="0049436F">
            <w:pPr>
              <w:rPr>
                <w:b/>
              </w:rPr>
            </w:pPr>
            <w:r w:rsidRPr="00E76760">
              <w:rPr>
                <w:b/>
                <w:highlight w:val="yellow"/>
              </w:rPr>
              <w:t>6.4. Kiti Tiekėjo įsipareigojimai</w:t>
            </w:r>
          </w:p>
          <w:p w14:paraId="75C0B01B" w14:textId="77777777" w:rsidR="0049436F" w:rsidRPr="00E76760" w:rsidRDefault="0049436F" w:rsidP="0049436F">
            <w:pPr>
              <w:rPr>
                <w:b/>
                <w:highlight w:val="yellow"/>
              </w:rPr>
            </w:pPr>
          </w:p>
        </w:tc>
        <w:tc>
          <w:tcPr>
            <w:tcW w:w="6441" w:type="dxa"/>
          </w:tcPr>
          <w:p w14:paraId="49641AC4" w14:textId="77777777" w:rsidR="0049436F" w:rsidRPr="00D43C74" w:rsidRDefault="0049436F" w:rsidP="0049436F">
            <w:pPr>
              <w:jc w:val="both"/>
              <w:rPr>
                <w:highlight w:val="yellow"/>
              </w:rPr>
            </w:pPr>
            <w:r w:rsidRPr="00D43C74">
              <w:rPr>
                <w:kern w:val="2"/>
                <w:highlight w:val="yellow"/>
              </w:rPr>
              <w:t xml:space="preserve">6.4.1. </w:t>
            </w:r>
            <w:r w:rsidRPr="00D43C74">
              <w:rPr>
                <w:highlight w:val="yellow"/>
              </w:rPr>
              <w:t>Sistemoje pateikiama teisinė informacij</w:t>
            </w:r>
            <w:r>
              <w:rPr>
                <w:highlight w:val="yellow"/>
              </w:rPr>
              <w:t>a,</w:t>
            </w:r>
            <w:r w:rsidRPr="00D43C74">
              <w:rPr>
                <w:highlight w:val="yellow"/>
              </w:rPr>
              <w:t xml:space="preserve"> kur</w:t>
            </w:r>
            <w:r>
              <w:rPr>
                <w:highlight w:val="yellow"/>
              </w:rPr>
              <w:t>ią</w:t>
            </w:r>
            <w:r w:rsidRPr="00D43C74">
              <w:rPr>
                <w:highlight w:val="yellow"/>
              </w:rPr>
              <w:t xml:space="preserve"> T</w:t>
            </w:r>
            <w:r>
              <w:rPr>
                <w:highlight w:val="yellow"/>
              </w:rPr>
              <w:t>ie</w:t>
            </w:r>
            <w:r w:rsidRPr="00D43C74">
              <w:rPr>
                <w:highlight w:val="yellow"/>
              </w:rPr>
              <w:t>kėjas gauna iš LR institucijų viešų elektroninių duomenų rinkmenų, bei intelektinės nuosavybės teisėmis saugomi objektai. T</w:t>
            </w:r>
            <w:r>
              <w:rPr>
                <w:highlight w:val="yellow"/>
              </w:rPr>
              <w:t>ie</w:t>
            </w:r>
            <w:r w:rsidRPr="00D43C74">
              <w:rPr>
                <w:highlight w:val="yellow"/>
              </w:rPr>
              <w:t>kėjas nekeičia oficialių teisės aktų ir teismų baigiamųjų aktų tekstų turinio, išskyrus techninio pobūdžio pakeitimus. T</w:t>
            </w:r>
            <w:r>
              <w:rPr>
                <w:highlight w:val="yellow"/>
              </w:rPr>
              <w:t>ie</w:t>
            </w:r>
            <w:r w:rsidRPr="00D43C74">
              <w:rPr>
                <w:highlight w:val="yellow"/>
              </w:rPr>
              <w:t>kėjas informaciją pateikia iš šaltinių, kuriuos laiko patikimais, tačiau nei šie šaltiniai, nei T</w:t>
            </w:r>
            <w:r>
              <w:rPr>
                <w:highlight w:val="yellow"/>
              </w:rPr>
              <w:t>ie</w:t>
            </w:r>
            <w:r w:rsidRPr="00D43C74">
              <w:rPr>
                <w:highlight w:val="yellow"/>
              </w:rPr>
              <w:t>kėjas negali pateikti ir nepateikia išreikštų ar numanomų garantijų, kad informacija bus visiškai išsami, patikima ir tiksli.</w:t>
            </w:r>
          </w:p>
          <w:p w14:paraId="2063AEF1" w14:textId="77777777" w:rsidR="0049436F" w:rsidRPr="00D43C74" w:rsidRDefault="0049436F" w:rsidP="0049436F">
            <w:pPr>
              <w:jc w:val="both"/>
              <w:rPr>
                <w:highlight w:val="yellow"/>
              </w:rPr>
            </w:pPr>
            <w:r w:rsidRPr="00D43C74">
              <w:rPr>
                <w:kern w:val="2"/>
                <w:highlight w:val="yellow"/>
              </w:rPr>
              <w:t xml:space="preserve">6.4.2. </w:t>
            </w:r>
            <w:r w:rsidRPr="00D43C74">
              <w:rPr>
                <w:highlight w:val="yellow"/>
              </w:rPr>
              <w:t>Sistemoje pateikta informacija yra informacinio pobūdžio ir negali būti suprantama kaip galinti pakeisti kvalifikuotą teisinę konsultaciją ar oficialią dokumentų redakciją. T</w:t>
            </w:r>
            <w:r>
              <w:rPr>
                <w:highlight w:val="yellow"/>
              </w:rPr>
              <w:t>ie</w:t>
            </w:r>
            <w:r w:rsidRPr="00D43C74">
              <w:rPr>
                <w:highlight w:val="yellow"/>
              </w:rPr>
              <w:t>kėjas nėra atsakingas už šios informacijos panaudojimą. T</w:t>
            </w:r>
            <w:r>
              <w:rPr>
                <w:highlight w:val="yellow"/>
              </w:rPr>
              <w:t>ie</w:t>
            </w:r>
            <w:r w:rsidRPr="00D43C74">
              <w:rPr>
                <w:highlight w:val="yellow"/>
              </w:rPr>
              <w:t>kėjas neatsako už jokius tiesioginius ar netiesioginius nuostolius, turėtas išlaidas ar negautas pajamas, susijusias su sistemoje esančios informacijos naudojimu.</w:t>
            </w:r>
          </w:p>
          <w:p w14:paraId="2B3B0FF2" w14:textId="77777777" w:rsidR="0049436F" w:rsidRPr="00D43C74" w:rsidRDefault="0049436F" w:rsidP="0049436F">
            <w:pPr>
              <w:jc w:val="both"/>
              <w:rPr>
                <w:highlight w:val="yellow"/>
              </w:rPr>
            </w:pPr>
            <w:r w:rsidRPr="00D43C74">
              <w:rPr>
                <w:kern w:val="2"/>
                <w:highlight w:val="yellow"/>
              </w:rPr>
              <w:t>6.4.</w:t>
            </w:r>
            <w:r>
              <w:rPr>
                <w:kern w:val="2"/>
                <w:highlight w:val="yellow"/>
              </w:rPr>
              <w:t>3</w:t>
            </w:r>
            <w:r w:rsidRPr="00D43C74">
              <w:rPr>
                <w:kern w:val="2"/>
                <w:highlight w:val="yellow"/>
              </w:rPr>
              <w:t xml:space="preserve">. </w:t>
            </w:r>
            <w:r w:rsidRPr="00D43C74">
              <w:rPr>
                <w:highlight w:val="yellow"/>
              </w:rPr>
              <w:t>Konkreti informacija, esanti sistemoje ar pasiekiama per ją, gali būti pakeista arba pašalinta iš jos be išankstinio įspėjimo tik išimtiniais ir būtinais atvejais, įprastai tada, jei to dėl informacijos turinio reikalauja pirminiai informacijos šaltiniai – valstybės institucijos ar kiti tretieji asmenys.</w:t>
            </w:r>
          </w:p>
          <w:p w14:paraId="7AF9FBB4" w14:textId="13DF79D4" w:rsidR="0049436F" w:rsidRPr="00E76760" w:rsidRDefault="0049436F" w:rsidP="00C24F60">
            <w:pPr>
              <w:jc w:val="both"/>
              <w:rPr>
                <w:kern w:val="2"/>
                <w:highlight w:val="yellow"/>
              </w:rPr>
            </w:pPr>
            <w:r w:rsidRPr="00D43C74">
              <w:rPr>
                <w:kern w:val="2"/>
                <w:highlight w:val="yellow"/>
              </w:rPr>
              <w:t>6.4.</w:t>
            </w:r>
            <w:r>
              <w:rPr>
                <w:kern w:val="2"/>
                <w:highlight w:val="yellow"/>
              </w:rPr>
              <w:t>4</w:t>
            </w:r>
            <w:r w:rsidRPr="00D43C74">
              <w:rPr>
                <w:kern w:val="2"/>
                <w:highlight w:val="yellow"/>
              </w:rPr>
              <w:t xml:space="preserve">. </w:t>
            </w:r>
            <w:r w:rsidRPr="00D43C74">
              <w:rPr>
                <w:highlight w:val="yellow"/>
              </w:rPr>
              <w:t>T</w:t>
            </w:r>
            <w:r>
              <w:rPr>
                <w:highlight w:val="yellow"/>
              </w:rPr>
              <w:t>ie</w:t>
            </w:r>
            <w:r w:rsidRPr="00D43C74">
              <w:rPr>
                <w:highlight w:val="yellow"/>
              </w:rPr>
              <w:t>kėjas neatsako už tai, kad dėl informacinių ir ryšių technologijų priemonių gedimų ar kitų nuo T</w:t>
            </w:r>
            <w:r>
              <w:rPr>
                <w:highlight w:val="yellow"/>
              </w:rPr>
              <w:t>ie</w:t>
            </w:r>
            <w:r w:rsidRPr="00D43C74">
              <w:rPr>
                <w:highlight w:val="yellow"/>
              </w:rPr>
              <w:t xml:space="preserve">kėjo nepriklausančių aplinkybių bus prarasti ar iškraipyti duomenys jų pateikimo metu, ar kad dėl šių aplinkybių informaciją vėluojama juos pateikti sistemoje. Laikinas paslaugų teikimo sustabdymas </w:t>
            </w:r>
            <w:r w:rsidRPr="00D43C74">
              <w:rPr>
                <w:highlight w:val="yellow"/>
              </w:rPr>
              <w:lastRenderedPageBreak/>
              <w:t>atliekant T</w:t>
            </w:r>
            <w:r>
              <w:rPr>
                <w:highlight w:val="yellow"/>
              </w:rPr>
              <w:t>ie</w:t>
            </w:r>
            <w:r w:rsidRPr="00D43C74">
              <w:rPr>
                <w:highlight w:val="yellow"/>
              </w:rPr>
              <w:t xml:space="preserve">kėjo techninės priežiūros ar sistemos atnaujinimo darbus nelaikomas gedimu. Techninės priežiūros ar sistemos atnaujinimo darbų atlikimas organizuojamas taip, kad truktų kuo trumpiau ir paveiktų kuo mažiau naudotojų. Paslauga </w:t>
            </w:r>
            <w:r>
              <w:rPr>
                <w:highlight w:val="yellow"/>
              </w:rPr>
              <w:t>Pirkėjui</w:t>
            </w:r>
            <w:r w:rsidRPr="00D43C74">
              <w:rPr>
                <w:highlight w:val="yellow"/>
              </w:rPr>
              <w:t xml:space="preserve"> pasiekiama ne mažiau kaip 95 proc. prenumeratos laiko.</w:t>
            </w:r>
            <w:r w:rsidRPr="00D43C74">
              <w:rPr>
                <w:kern w:val="2"/>
                <w:highlight w:val="yellow"/>
              </w:rPr>
              <w:t xml:space="preserve"> </w:t>
            </w:r>
          </w:p>
        </w:tc>
      </w:tr>
      <w:tr w:rsidR="0049436F" w:rsidRPr="00E76760" w14:paraId="3D511359" w14:textId="77777777" w:rsidTr="00FB6BDB">
        <w:trPr>
          <w:gridAfter w:val="1"/>
          <w:wAfter w:w="9" w:type="dxa"/>
          <w:trHeight w:val="300"/>
        </w:trPr>
        <w:tc>
          <w:tcPr>
            <w:tcW w:w="3711" w:type="dxa"/>
          </w:tcPr>
          <w:p w14:paraId="45D00806" w14:textId="77777777" w:rsidR="0049436F" w:rsidRPr="00E76760" w:rsidRDefault="0049436F" w:rsidP="0049436F">
            <w:pPr>
              <w:rPr>
                <w:b/>
              </w:rPr>
            </w:pPr>
            <w:r w:rsidRPr="00E76760">
              <w:rPr>
                <w:b/>
                <w:highlight w:val="yellow"/>
              </w:rPr>
              <w:lastRenderedPageBreak/>
              <w:t>6.5. Kiti Pirkėjo įsipareigojimai</w:t>
            </w:r>
          </w:p>
          <w:p w14:paraId="58D0991B" w14:textId="77777777" w:rsidR="0049436F" w:rsidRPr="00E76760" w:rsidRDefault="0049436F" w:rsidP="0049436F">
            <w:pPr>
              <w:rPr>
                <w:b/>
              </w:rPr>
            </w:pPr>
          </w:p>
        </w:tc>
        <w:tc>
          <w:tcPr>
            <w:tcW w:w="6441" w:type="dxa"/>
          </w:tcPr>
          <w:p w14:paraId="7F51755B" w14:textId="77777777" w:rsidR="0049436F" w:rsidRPr="001E6E62" w:rsidRDefault="0049436F" w:rsidP="0049436F">
            <w:pPr>
              <w:jc w:val="both"/>
              <w:rPr>
                <w:highlight w:val="yellow"/>
              </w:rPr>
            </w:pPr>
            <w:r w:rsidRPr="001E6E62">
              <w:rPr>
                <w:kern w:val="2"/>
                <w:highlight w:val="yellow"/>
              </w:rPr>
              <w:t xml:space="preserve">6.5.1. </w:t>
            </w:r>
            <w:r>
              <w:rPr>
                <w:kern w:val="2"/>
                <w:highlight w:val="yellow"/>
              </w:rPr>
              <w:t>Pirkėjas įsipareigoja s</w:t>
            </w:r>
            <w:r w:rsidRPr="001E6E62">
              <w:rPr>
                <w:highlight w:val="yellow"/>
              </w:rPr>
              <w:t xml:space="preserve">augoti paslaptyje ir neperdavinėti tretiesiems asmenims </w:t>
            </w:r>
            <w:r>
              <w:rPr>
                <w:highlight w:val="yellow"/>
              </w:rPr>
              <w:t>Pirkėjui</w:t>
            </w:r>
            <w:r w:rsidRPr="001E6E62">
              <w:rPr>
                <w:highlight w:val="yellow"/>
              </w:rPr>
              <w:t xml:space="preserve"> suteiktų prisijungimo duomenų, pagal T</w:t>
            </w:r>
            <w:r>
              <w:rPr>
                <w:highlight w:val="yellow"/>
              </w:rPr>
              <w:t>ie</w:t>
            </w:r>
            <w:r w:rsidRPr="001E6E62">
              <w:rPr>
                <w:highlight w:val="yellow"/>
              </w:rPr>
              <w:t>kėjo rekomendacijas reguliariai keisti slaptažodį, nedelsiant pranešti T</w:t>
            </w:r>
            <w:r>
              <w:rPr>
                <w:highlight w:val="yellow"/>
              </w:rPr>
              <w:t>ie</w:t>
            </w:r>
            <w:r w:rsidRPr="001E6E62">
              <w:rPr>
                <w:highlight w:val="yellow"/>
              </w:rPr>
              <w:t>kėjui apie neteisėtą prisijungimo duomenų atskleidimą arba įtarimą, kad jie tapo žinomi tretiesiems asmenims.</w:t>
            </w:r>
          </w:p>
          <w:p w14:paraId="73101EDD" w14:textId="77777777" w:rsidR="0049436F" w:rsidRDefault="0049436F" w:rsidP="0049436F">
            <w:pPr>
              <w:jc w:val="both"/>
              <w:rPr>
                <w:highlight w:val="yellow"/>
              </w:rPr>
            </w:pPr>
            <w:r w:rsidRPr="001E6E62">
              <w:rPr>
                <w:highlight w:val="yellow"/>
              </w:rPr>
              <w:t xml:space="preserve">6.5.2. </w:t>
            </w:r>
            <w:r>
              <w:rPr>
                <w:highlight w:val="yellow"/>
              </w:rPr>
              <w:t>Pirkėjas į</w:t>
            </w:r>
            <w:r w:rsidRPr="001E6E62">
              <w:rPr>
                <w:highlight w:val="yellow"/>
              </w:rPr>
              <w:t>sipareigoja kiekvieno abonemento prisijungimo duomenis vienu metu naudoti tik vienoje darbo vietoje (kompiuteryje ar kitame įrenginyje)</w:t>
            </w:r>
            <w:r>
              <w:rPr>
                <w:highlight w:val="yellow"/>
              </w:rPr>
              <w:t xml:space="preserve"> bei</w:t>
            </w:r>
            <w:r w:rsidRPr="001E6E62">
              <w:rPr>
                <w:highlight w:val="yellow"/>
              </w:rPr>
              <w:t xml:space="preserve"> keisti darbo vietą (kompiuterį ar kitą įrenginį) ne dažniau nei 2 kartus per 24 (dvidešimt keturias) valandas (24 valandos yra skaičiuojamos nuo 00:00 iki 23:59 val</w:t>
            </w:r>
            <w:r>
              <w:rPr>
                <w:highlight w:val="yellow"/>
              </w:rPr>
              <w:t>.</w:t>
            </w:r>
            <w:r w:rsidRPr="001E6E62">
              <w:rPr>
                <w:highlight w:val="yellow"/>
              </w:rPr>
              <w:t>). Internetinės naršyklės keitimas naudojantis sistema toje pačioje darbo vietoje technine prasme laikomas darbo vietos keitimu.</w:t>
            </w:r>
          </w:p>
          <w:p w14:paraId="59B2D98E" w14:textId="4C7CF966" w:rsidR="0049436F" w:rsidRPr="00E76760" w:rsidRDefault="0049436F" w:rsidP="00C24F60">
            <w:pPr>
              <w:jc w:val="both"/>
              <w:rPr>
                <w:kern w:val="2"/>
                <w:highlight w:val="yellow"/>
              </w:rPr>
            </w:pPr>
            <w:r w:rsidRPr="00D43C74">
              <w:rPr>
                <w:kern w:val="2"/>
                <w:highlight w:val="yellow"/>
              </w:rPr>
              <w:t>6.</w:t>
            </w:r>
            <w:r>
              <w:rPr>
                <w:kern w:val="2"/>
                <w:highlight w:val="yellow"/>
              </w:rPr>
              <w:t>5</w:t>
            </w:r>
            <w:r w:rsidRPr="00D43C74">
              <w:rPr>
                <w:kern w:val="2"/>
                <w:highlight w:val="yellow"/>
              </w:rPr>
              <w:t xml:space="preserve">.3. </w:t>
            </w:r>
            <w:r w:rsidRPr="00D43C74">
              <w:rPr>
                <w:highlight w:val="yellow"/>
              </w:rPr>
              <w:t xml:space="preserve">Sistemoje naudojami slapukai (angl. </w:t>
            </w:r>
            <w:proofErr w:type="spellStart"/>
            <w:r w:rsidRPr="00D43C74">
              <w:rPr>
                <w:highlight w:val="yellow"/>
              </w:rPr>
              <w:t>cookies</w:t>
            </w:r>
            <w:proofErr w:type="spellEnd"/>
            <w:r w:rsidRPr="00D43C74">
              <w:rPr>
                <w:highlight w:val="yellow"/>
              </w:rPr>
              <w:t xml:space="preserve">). Prisijungdamas prie sistemos, </w:t>
            </w:r>
            <w:r>
              <w:rPr>
                <w:highlight w:val="yellow"/>
              </w:rPr>
              <w:t>Pirkėjas</w:t>
            </w:r>
            <w:r w:rsidRPr="00D43C74">
              <w:rPr>
                <w:highlight w:val="yellow"/>
              </w:rPr>
              <w:t xml:space="preserve"> sutinka, kad jie būtų naudojami techniniais tikslais (darbo vietos keitimo apsaugai ir pan.). </w:t>
            </w:r>
            <w:r>
              <w:rPr>
                <w:highlight w:val="yellow"/>
              </w:rPr>
              <w:t>Pirkėjui</w:t>
            </w:r>
            <w:r w:rsidRPr="00D43C74">
              <w:rPr>
                <w:highlight w:val="yellow"/>
              </w:rPr>
              <w:t xml:space="preserve"> žinoma, kad pakeitus internetinės naršyklės apsaugos nustatymus taip, kad slapukai nebūtų priimami, paslauga nebus galima naudotis.</w:t>
            </w:r>
          </w:p>
        </w:tc>
      </w:tr>
    </w:tbl>
    <w:p w14:paraId="526D6EE2" w14:textId="77777777" w:rsidR="005F7984" w:rsidRPr="00E76760" w:rsidRDefault="005F7984" w:rsidP="00820E24">
      <w:pPr>
        <w:spacing w:line="288" w:lineRule="auto"/>
        <w:jc w:val="both"/>
        <w:rPr>
          <w:rFonts w:eastAsia="STCaiyun"/>
        </w:rPr>
      </w:pPr>
    </w:p>
    <w:p w14:paraId="7B22507E" w14:textId="20D32AF9" w:rsidR="00DD3774" w:rsidRPr="00E76760" w:rsidRDefault="00DD3774" w:rsidP="00DD3774">
      <w:pPr>
        <w:spacing w:line="276" w:lineRule="auto"/>
        <w:ind w:firstLine="720"/>
        <w:jc w:val="both"/>
        <w:rPr>
          <w:rFonts w:eastAsia="STCaiyun"/>
        </w:rPr>
      </w:pPr>
      <w:r w:rsidRPr="00E76760">
        <w:rPr>
          <w:rFonts w:eastAsia="STCaiyun"/>
        </w:rPr>
        <w:t>Pirkimo dokumenta</w:t>
      </w:r>
      <w:r w:rsidR="00F343BA">
        <w:rPr>
          <w:rFonts w:eastAsia="STCaiyun"/>
        </w:rPr>
        <w:t>s</w:t>
      </w:r>
      <w:r w:rsidRPr="00E76760">
        <w:rPr>
          <w:rFonts w:eastAsia="STCaiyun"/>
        </w:rPr>
        <w:t>, kuri</w:t>
      </w:r>
      <w:r w:rsidR="00F343BA">
        <w:rPr>
          <w:rFonts w:eastAsia="STCaiyun"/>
        </w:rPr>
        <w:t>ame</w:t>
      </w:r>
      <w:r w:rsidRPr="00E76760">
        <w:rPr>
          <w:rFonts w:eastAsia="STCaiyun"/>
        </w:rPr>
        <w:t xml:space="preserve"> buvo atlikt</w:t>
      </w:r>
      <w:r w:rsidR="00F343BA">
        <w:rPr>
          <w:rFonts w:eastAsia="STCaiyun"/>
        </w:rPr>
        <w:t>i</w:t>
      </w:r>
      <w:r w:rsidRPr="00E76760">
        <w:rPr>
          <w:rFonts w:eastAsia="STCaiyun"/>
        </w:rPr>
        <w:t xml:space="preserve"> </w:t>
      </w:r>
      <w:r w:rsidR="00C652F9">
        <w:rPr>
          <w:rFonts w:eastAsia="STCaiyun"/>
        </w:rPr>
        <w:t>papildymai</w:t>
      </w:r>
      <w:r w:rsidRPr="00E76760">
        <w:rPr>
          <w:rFonts w:eastAsia="STCaiyun"/>
        </w:rPr>
        <w:t>, bus paskelbt</w:t>
      </w:r>
      <w:r w:rsidR="00C652F9">
        <w:rPr>
          <w:rFonts w:eastAsia="STCaiyun"/>
        </w:rPr>
        <w:t>as</w:t>
      </w:r>
      <w:r w:rsidRPr="00E76760">
        <w:rPr>
          <w:rFonts w:eastAsia="STCaiyun"/>
        </w:rPr>
        <w:t xml:space="preserve"> CVP IS nauja redakcija prie Pirkimo dokumentų (tikslintas vietas pažymint geltona spalva). </w:t>
      </w:r>
    </w:p>
    <w:p w14:paraId="5743DE0C" w14:textId="77777777" w:rsidR="005E2436" w:rsidRPr="005E2436" w:rsidRDefault="00B34815" w:rsidP="005E2436">
      <w:pPr>
        <w:suppressAutoHyphens/>
        <w:ind w:firstLine="709"/>
        <w:jc w:val="both"/>
      </w:pPr>
      <w:r w:rsidRPr="005E2436">
        <w:rPr>
          <w:noProof/>
        </w:rPr>
        <w:t xml:space="preserve">Vadovaudamasi VPĮ 40 str. 4 d. ir Pirkimo dokumentų </w:t>
      </w:r>
      <w:r w:rsidR="00337BD1" w:rsidRPr="005E2436">
        <w:rPr>
          <w:noProof/>
        </w:rPr>
        <w:t xml:space="preserve">B dalies </w:t>
      </w:r>
      <w:r w:rsidRPr="005E2436">
        <w:rPr>
          <w:noProof/>
        </w:rPr>
        <w:t xml:space="preserve">Bendrųjų sąlygų </w:t>
      </w:r>
      <w:r w:rsidR="000F64B9" w:rsidRPr="005E2436">
        <w:rPr>
          <w:noProof/>
        </w:rPr>
        <w:t>7.4</w:t>
      </w:r>
      <w:r w:rsidRPr="005E2436">
        <w:rPr>
          <w:noProof/>
        </w:rPr>
        <w:t xml:space="preserve"> p., </w:t>
      </w:r>
      <w:r w:rsidR="00040BB6" w:rsidRPr="005E2436">
        <w:rPr>
          <w:noProof/>
        </w:rPr>
        <w:t xml:space="preserve">CPO LT viešojo pirkimo komisija (toliau – Komisija) nusprendė </w:t>
      </w:r>
      <w:r w:rsidRPr="005E2436">
        <w:rPr>
          <w:noProof/>
        </w:rPr>
        <w:t>nukelti pasiūlymų</w:t>
      </w:r>
      <w:r w:rsidRPr="005E2436">
        <w:t xml:space="preserve"> pateikimo terminą iš 2025 m. </w:t>
      </w:r>
      <w:r w:rsidR="000F64B9" w:rsidRPr="005E2436">
        <w:t>spalio</w:t>
      </w:r>
      <w:r w:rsidRPr="005E2436">
        <w:t xml:space="preserve"> 2</w:t>
      </w:r>
      <w:r w:rsidR="000F64B9" w:rsidRPr="005E2436">
        <w:t>7</w:t>
      </w:r>
      <w:r w:rsidRPr="005E2436">
        <w:t xml:space="preserve"> d. 9.00 val. </w:t>
      </w:r>
      <w:r w:rsidRPr="005E2436">
        <w:rPr>
          <w:b/>
          <w:bCs/>
        </w:rPr>
        <w:t xml:space="preserve">į  2025 m. </w:t>
      </w:r>
      <w:r w:rsidR="000F64B9" w:rsidRPr="005E2436">
        <w:rPr>
          <w:b/>
          <w:bCs/>
        </w:rPr>
        <w:t>lapkričio</w:t>
      </w:r>
      <w:r w:rsidRPr="005E2436">
        <w:rPr>
          <w:b/>
          <w:bCs/>
        </w:rPr>
        <w:t xml:space="preserve"> </w:t>
      </w:r>
      <w:r w:rsidR="000F64B9" w:rsidRPr="005E2436">
        <w:rPr>
          <w:b/>
          <w:bCs/>
        </w:rPr>
        <w:t>3</w:t>
      </w:r>
      <w:r w:rsidRPr="005E2436">
        <w:rPr>
          <w:b/>
          <w:bCs/>
        </w:rPr>
        <w:t xml:space="preserve"> d. 9.00 val.</w:t>
      </w:r>
      <w:r w:rsidR="009E7340" w:rsidRPr="005E2436">
        <w:rPr>
          <w:b/>
          <w:bCs/>
        </w:rPr>
        <w:t xml:space="preserve">, </w:t>
      </w:r>
      <w:r w:rsidR="005E2436" w:rsidRPr="005E2436">
        <w:t>prašymo pateikti paaiškinimą terminą iš 2025 m. spalio 23 d. 9.00 val. į 2025 m. spalio 30 d.</w:t>
      </w:r>
    </w:p>
    <w:p w14:paraId="0699F802" w14:textId="61AA6958" w:rsidR="00A04944" w:rsidRPr="00E76760" w:rsidRDefault="00A04944" w:rsidP="005E2436">
      <w:pPr>
        <w:suppressAutoHyphens/>
        <w:ind w:firstLine="709"/>
        <w:jc w:val="both"/>
        <w:rPr>
          <w:rFonts w:eastAsia="STCaiyun"/>
          <w:bdr w:val="none" w:sz="0" w:space="0" w:color="auto"/>
          <w14:ligatures w14:val="standardContextual"/>
        </w:rPr>
      </w:pPr>
    </w:p>
    <w:p w14:paraId="4DED9DB4" w14:textId="46866629" w:rsidR="004724B7" w:rsidRPr="00E76760" w:rsidRDefault="004724B7" w:rsidP="007B6994">
      <w:pPr>
        <w:tabs>
          <w:tab w:val="left" w:pos="1605"/>
        </w:tabs>
        <w:spacing w:line="288" w:lineRule="auto"/>
        <w:jc w:val="both"/>
        <w:rPr>
          <w:rFonts w:eastAsia="STCaiyun"/>
        </w:rPr>
      </w:pPr>
    </w:p>
    <w:p w14:paraId="24581294" w14:textId="05AAC29D" w:rsidR="004724B7" w:rsidRPr="00E76760" w:rsidRDefault="004724B7" w:rsidP="00706B82">
      <w:pPr>
        <w:tabs>
          <w:tab w:val="left" w:pos="1605"/>
        </w:tabs>
        <w:spacing w:line="288" w:lineRule="auto"/>
        <w:jc w:val="both"/>
        <w:rPr>
          <w:rFonts w:eastAsia="STCaiyun"/>
          <w:color w:val="000000"/>
        </w:rPr>
      </w:pPr>
      <w:r w:rsidRPr="00E76760">
        <w:rPr>
          <w:rFonts w:eastAsia="STCaiyun"/>
          <w:color w:val="000000"/>
        </w:rPr>
        <w:t>Pagarbiai</w:t>
      </w:r>
    </w:p>
    <w:p w14:paraId="199F3DDC" w14:textId="77777777" w:rsidR="00706B82" w:rsidRPr="00E76760" w:rsidRDefault="00706B82" w:rsidP="00706B82">
      <w:pPr>
        <w:tabs>
          <w:tab w:val="left" w:pos="1605"/>
        </w:tabs>
        <w:spacing w:line="288" w:lineRule="auto"/>
        <w:jc w:val="both"/>
        <w:rPr>
          <w:rFonts w:eastAsia="STCaiyun"/>
          <w:color w:val="000000"/>
        </w:rPr>
      </w:pPr>
    </w:p>
    <w:p w14:paraId="7478A476" w14:textId="081681EA" w:rsidR="00E4040A" w:rsidRPr="00E76760" w:rsidRDefault="004724B7" w:rsidP="000A535B">
      <w:pPr>
        <w:tabs>
          <w:tab w:val="left" w:pos="1605"/>
        </w:tabs>
        <w:spacing w:line="288" w:lineRule="auto"/>
        <w:jc w:val="both"/>
        <w:rPr>
          <w:rFonts w:eastAsia="STCaiyun"/>
        </w:rPr>
      </w:pPr>
      <w:r w:rsidRPr="00E76760">
        <w:rPr>
          <w:rFonts w:eastAsia="STCaiyun"/>
          <w:color w:val="000000"/>
        </w:rPr>
        <w:t>Komisija</w:t>
      </w:r>
    </w:p>
    <w:sectPr w:rsidR="00E4040A" w:rsidRPr="00E76760" w:rsidSect="0003210A">
      <w:headerReference w:type="default" r:id="rId8"/>
      <w:footerReference w:type="default" r:id="rId9"/>
      <w:headerReference w:type="first" r:id="rId10"/>
      <w:pgSz w:w="11900" w:h="16840"/>
      <w:pgMar w:top="1152" w:right="576" w:bottom="1008" w:left="15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2B2FB" w14:textId="77777777" w:rsidR="006F6842" w:rsidRDefault="006F6842" w:rsidP="000F17D6">
      <w:r>
        <w:separator/>
      </w:r>
    </w:p>
  </w:endnote>
  <w:endnote w:type="continuationSeparator" w:id="0">
    <w:p w14:paraId="6AB8008C" w14:textId="77777777" w:rsidR="006F6842" w:rsidRDefault="006F6842"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Arial"/>
    <w:charset w:val="00"/>
    <w:family w:val="auto"/>
    <w:pitch w:val="variable"/>
    <w:sig w:usb0="E50002FF" w:usb1="500079DB" w:usb2="00000010" w:usb3="00000000" w:csb0="00000001" w:csb1="00000000"/>
  </w:font>
  <w:font w:name="STCaiyun">
    <w:charset w:val="86"/>
    <w:family w:val="auto"/>
    <w:pitch w:val="variable"/>
    <w:sig w:usb0="00000001" w:usb1="38CF00F8" w:usb2="00000016" w:usb3="00000000" w:csb0="00040001" w:csb1="00000000"/>
  </w:font>
  <w:font w:name="Jost">
    <w:altName w:val="Calibri"/>
    <w:panose1 w:val="00000000000000000000"/>
    <w:charset w:val="BA"/>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4F25" w14:textId="77777777" w:rsidR="006F6842" w:rsidRDefault="006F6842" w:rsidP="000F17D6">
      <w:r>
        <w:separator/>
      </w:r>
    </w:p>
  </w:footnote>
  <w:footnote w:type="continuationSeparator" w:id="0">
    <w:p w14:paraId="53634EDC" w14:textId="77777777" w:rsidR="006F6842" w:rsidRDefault="006F6842"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30672">
    <w:abstractNumId w:val="0"/>
  </w:num>
  <w:num w:numId="2" w16cid:durableId="93443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05929"/>
    <w:rsid w:val="00017531"/>
    <w:rsid w:val="00021AAF"/>
    <w:rsid w:val="000244FF"/>
    <w:rsid w:val="0003099E"/>
    <w:rsid w:val="0003210A"/>
    <w:rsid w:val="00032CA3"/>
    <w:rsid w:val="00040BB6"/>
    <w:rsid w:val="00051BE0"/>
    <w:rsid w:val="000548D5"/>
    <w:rsid w:val="0005776F"/>
    <w:rsid w:val="000673B7"/>
    <w:rsid w:val="000841CC"/>
    <w:rsid w:val="00095D5F"/>
    <w:rsid w:val="000A5018"/>
    <w:rsid w:val="000A535B"/>
    <w:rsid w:val="000B64AE"/>
    <w:rsid w:val="000C2477"/>
    <w:rsid w:val="000C3954"/>
    <w:rsid w:val="000E44C3"/>
    <w:rsid w:val="000F17D6"/>
    <w:rsid w:val="000F3B8C"/>
    <w:rsid w:val="000F64B9"/>
    <w:rsid w:val="00126391"/>
    <w:rsid w:val="001276CB"/>
    <w:rsid w:val="001330B6"/>
    <w:rsid w:val="001424B9"/>
    <w:rsid w:val="001558F6"/>
    <w:rsid w:val="00180221"/>
    <w:rsid w:val="001954C2"/>
    <w:rsid w:val="001B06AB"/>
    <w:rsid w:val="001C257D"/>
    <w:rsid w:val="001C2DC1"/>
    <w:rsid w:val="001E4E88"/>
    <w:rsid w:val="001F781B"/>
    <w:rsid w:val="00206126"/>
    <w:rsid w:val="00212D9C"/>
    <w:rsid w:val="00220836"/>
    <w:rsid w:val="002238BE"/>
    <w:rsid w:val="00230D36"/>
    <w:rsid w:val="0023122B"/>
    <w:rsid w:val="00240BAB"/>
    <w:rsid w:val="0027706E"/>
    <w:rsid w:val="00277E0C"/>
    <w:rsid w:val="00283410"/>
    <w:rsid w:val="002C68B1"/>
    <w:rsid w:val="002E0DBC"/>
    <w:rsid w:val="002E448B"/>
    <w:rsid w:val="002F14A4"/>
    <w:rsid w:val="002F4B21"/>
    <w:rsid w:val="00300312"/>
    <w:rsid w:val="003145D1"/>
    <w:rsid w:val="00320DD1"/>
    <w:rsid w:val="00322AFC"/>
    <w:rsid w:val="0032721B"/>
    <w:rsid w:val="00332EAD"/>
    <w:rsid w:val="00337BD1"/>
    <w:rsid w:val="00340A18"/>
    <w:rsid w:val="003502B9"/>
    <w:rsid w:val="0036075B"/>
    <w:rsid w:val="00361521"/>
    <w:rsid w:val="00362939"/>
    <w:rsid w:val="00376B34"/>
    <w:rsid w:val="0038735C"/>
    <w:rsid w:val="00390330"/>
    <w:rsid w:val="003922E2"/>
    <w:rsid w:val="003A31A1"/>
    <w:rsid w:val="003B217B"/>
    <w:rsid w:val="003B610D"/>
    <w:rsid w:val="003B6880"/>
    <w:rsid w:val="003C1549"/>
    <w:rsid w:val="003C6C5D"/>
    <w:rsid w:val="003D08CE"/>
    <w:rsid w:val="003D41ED"/>
    <w:rsid w:val="003D6A42"/>
    <w:rsid w:val="003E1BFD"/>
    <w:rsid w:val="003E5DA8"/>
    <w:rsid w:val="003E6BB5"/>
    <w:rsid w:val="00405775"/>
    <w:rsid w:val="00406204"/>
    <w:rsid w:val="00421A92"/>
    <w:rsid w:val="00423A7E"/>
    <w:rsid w:val="00427EEC"/>
    <w:rsid w:val="00442B1B"/>
    <w:rsid w:val="00445645"/>
    <w:rsid w:val="00450B1C"/>
    <w:rsid w:val="004657AE"/>
    <w:rsid w:val="004724B7"/>
    <w:rsid w:val="004744D7"/>
    <w:rsid w:val="0048126B"/>
    <w:rsid w:val="004841E0"/>
    <w:rsid w:val="00490A3C"/>
    <w:rsid w:val="0049436F"/>
    <w:rsid w:val="00494710"/>
    <w:rsid w:val="00494CBC"/>
    <w:rsid w:val="004A5103"/>
    <w:rsid w:val="004B4631"/>
    <w:rsid w:val="004B4774"/>
    <w:rsid w:val="004B73A5"/>
    <w:rsid w:val="004C3DCD"/>
    <w:rsid w:val="004D1A88"/>
    <w:rsid w:val="004D1F07"/>
    <w:rsid w:val="004D335D"/>
    <w:rsid w:val="004E3751"/>
    <w:rsid w:val="004F05F3"/>
    <w:rsid w:val="004F1655"/>
    <w:rsid w:val="004F6AD6"/>
    <w:rsid w:val="00512F79"/>
    <w:rsid w:val="0051460F"/>
    <w:rsid w:val="00524056"/>
    <w:rsid w:val="00524A33"/>
    <w:rsid w:val="00524B8D"/>
    <w:rsid w:val="005525EB"/>
    <w:rsid w:val="00552A50"/>
    <w:rsid w:val="005642C6"/>
    <w:rsid w:val="00566E58"/>
    <w:rsid w:val="005718E6"/>
    <w:rsid w:val="00571FBB"/>
    <w:rsid w:val="00575768"/>
    <w:rsid w:val="0058131E"/>
    <w:rsid w:val="005841C2"/>
    <w:rsid w:val="005A27F6"/>
    <w:rsid w:val="005A6BC8"/>
    <w:rsid w:val="005B2B66"/>
    <w:rsid w:val="005B4238"/>
    <w:rsid w:val="005D01EA"/>
    <w:rsid w:val="005E2436"/>
    <w:rsid w:val="005F7984"/>
    <w:rsid w:val="006810B3"/>
    <w:rsid w:val="006862E0"/>
    <w:rsid w:val="00690099"/>
    <w:rsid w:val="006908B5"/>
    <w:rsid w:val="00697A02"/>
    <w:rsid w:val="006A2FA8"/>
    <w:rsid w:val="006A3975"/>
    <w:rsid w:val="006A3CEF"/>
    <w:rsid w:val="006C6CD6"/>
    <w:rsid w:val="006C78E1"/>
    <w:rsid w:val="006D6878"/>
    <w:rsid w:val="006F2CF7"/>
    <w:rsid w:val="006F5063"/>
    <w:rsid w:val="006F5CF6"/>
    <w:rsid w:val="006F6842"/>
    <w:rsid w:val="007008D3"/>
    <w:rsid w:val="0070372E"/>
    <w:rsid w:val="00706B82"/>
    <w:rsid w:val="007150FC"/>
    <w:rsid w:val="00715A6F"/>
    <w:rsid w:val="00717D5C"/>
    <w:rsid w:val="007254B9"/>
    <w:rsid w:val="007271E9"/>
    <w:rsid w:val="00760E25"/>
    <w:rsid w:val="00771E5E"/>
    <w:rsid w:val="00773506"/>
    <w:rsid w:val="00774325"/>
    <w:rsid w:val="00775018"/>
    <w:rsid w:val="007772DB"/>
    <w:rsid w:val="0078244E"/>
    <w:rsid w:val="007B6994"/>
    <w:rsid w:val="007C54E7"/>
    <w:rsid w:val="007C7652"/>
    <w:rsid w:val="007E2CD1"/>
    <w:rsid w:val="007F0445"/>
    <w:rsid w:val="007F072F"/>
    <w:rsid w:val="00801512"/>
    <w:rsid w:val="00801E82"/>
    <w:rsid w:val="0080655C"/>
    <w:rsid w:val="00811008"/>
    <w:rsid w:val="0081367D"/>
    <w:rsid w:val="00820E24"/>
    <w:rsid w:val="00826C57"/>
    <w:rsid w:val="00835AAF"/>
    <w:rsid w:val="008371E9"/>
    <w:rsid w:val="0085689A"/>
    <w:rsid w:val="00860FEB"/>
    <w:rsid w:val="008656C9"/>
    <w:rsid w:val="00870412"/>
    <w:rsid w:val="00876804"/>
    <w:rsid w:val="00876EDD"/>
    <w:rsid w:val="008814A7"/>
    <w:rsid w:val="0088508D"/>
    <w:rsid w:val="008851CE"/>
    <w:rsid w:val="00892698"/>
    <w:rsid w:val="0089379C"/>
    <w:rsid w:val="00897490"/>
    <w:rsid w:val="008B197C"/>
    <w:rsid w:val="008B59AC"/>
    <w:rsid w:val="008D7719"/>
    <w:rsid w:val="008F0A50"/>
    <w:rsid w:val="008F2BE0"/>
    <w:rsid w:val="00901F52"/>
    <w:rsid w:val="00913764"/>
    <w:rsid w:val="009300FE"/>
    <w:rsid w:val="00935834"/>
    <w:rsid w:val="00940C42"/>
    <w:rsid w:val="00940E74"/>
    <w:rsid w:val="00943813"/>
    <w:rsid w:val="00974E60"/>
    <w:rsid w:val="0098052A"/>
    <w:rsid w:val="00985441"/>
    <w:rsid w:val="00985A9F"/>
    <w:rsid w:val="00992541"/>
    <w:rsid w:val="009A53D3"/>
    <w:rsid w:val="009A6FF3"/>
    <w:rsid w:val="009A7E52"/>
    <w:rsid w:val="009C4816"/>
    <w:rsid w:val="009C5BA6"/>
    <w:rsid w:val="009C6D53"/>
    <w:rsid w:val="009C7231"/>
    <w:rsid w:val="009D3231"/>
    <w:rsid w:val="009E5672"/>
    <w:rsid w:val="009E7340"/>
    <w:rsid w:val="009F3B08"/>
    <w:rsid w:val="00A0048D"/>
    <w:rsid w:val="00A04944"/>
    <w:rsid w:val="00A116F0"/>
    <w:rsid w:val="00A1363C"/>
    <w:rsid w:val="00A25314"/>
    <w:rsid w:val="00A53AD1"/>
    <w:rsid w:val="00A67D15"/>
    <w:rsid w:val="00A71CBF"/>
    <w:rsid w:val="00A7668B"/>
    <w:rsid w:val="00A84892"/>
    <w:rsid w:val="00A84E42"/>
    <w:rsid w:val="00A912EF"/>
    <w:rsid w:val="00A9654F"/>
    <w:rsid w:val="00AB38D7"/>
    <w:rsid w:val="00AB476D"/>
    <w:rsid w:val="00AB653D"/>
    <w:rsid w:val="00AB7038"/>
    <w:rsid w:val="00AC0DC4"/>
    <w:rsid w:val="00AC3429"/>
    <w:rsid w:val="00AD0C9D"/>
    <w:rsid w:val="00AE3D21"/>
    <w:rsid w:val="00B014D5"/>
    <w:rsid w:val="00B06A44"/>
    <w:rsid w:val="00B20052"/>
    <w:rsid w:val="00B34815"/>
    <w:rsid w:val="00B34A7C"/>
    <w:rsid w:val="00B6175A"/>
    <w:rsid w:val="00B62F87"/>
    <w:rsid w:val="00B635A5"/>
    <w:rsid w:val="00B6675B"/>
    <w:rsid w:val="00B77E46"/>
    <w:rsid w:val="00B83BD1"/>
    <w:rsid w:val="00B97968"/>
    <w:rsid w:val="00BB3A66"/>
    <w:rsid w:val="00BC2075"/>
    <w:rsid w:val="00BC4BBB"/>
    <w:rsid w:val="00BD075A"/>
    <w:rsid w:val="00BD3FF5"/>
    <w:rsid w:val="00BD61F3"/>
    <w:rsid w:val="00BE5899"/>
    <w:rsid w:val="00C0001C"/>
    <w:rsid w:val="00C0467F"/>
    <w:rsid w:val="00C04902"/>
    <w:rsid w:val="00C20B49"/>
    <w:rsid w:val="00C24F60"/>
    <w:rsid w:val="00C36859"/>
    <w:rsid w:val="00C6185F"/>
    <w:rsid w:val="00C628F6"/>
    <w:rsid w:val="00C652F9"/>
    <w:rsid w:val="00C802B5"/>
    <w:rsid w:val="00C918C4"/>
    <w:rsid w:val="00CA62BE"/>
    <w:rsid w:val="00CB6EAD"/>
    <w:rsid w:val="00CC5F6C"/>
    <w:rsid w:val="00CD1404"/>
    <w:rsid w:val="00CD4EB5"/>
    <w:rsid w:val="00CD5059"/>
    <w:rsid w:val="00CE02EE"/>
    <w:rsid w:val="00CE0EA3"/>
    <w:rsid w:val="00CF4488"/>
    <w:rsid w:val="00CF785D"/>
    <w:rsid w:val="00D163F3"/>
    <w:rsid w:val="00D46253"/>
    <w:rsid w:val="00D65005"/>
    <w:rsid w:val="00D66B6A"/>
    <w:rsid w:val="00D81EC0"/>
    <w:rsid w:val="00D879C4"/>
    <w:rsid w:val="00D90DD3"/>
    <w:rsid w:val="00DA0901"/>
    <w:rsid w:val="00DA4742"/>
    <w:rsid w:val="00DB5547"/>
    <w:rsid w:val="00DC1758"/>
    <w:rsid w:val="00DC6D01"/>
    <w:rsid w:val="00DD3774"/>
    <w:rsid w:val="00DD3F9D"/>
    <w:rsid w:val="00DD4DA4"/>
    <w:rsid w:val="00DE0558"/>
    <w:rsid w:val="00DE0A01"/>
    <w:rsid w:val="00DF3CE3"/>
    <w:rsid w:val="00E0196F"/>
    <w:rsid w:val="00E04159"/>
    <w:rsid w:val="00E233C7"/>
    <w:rsid w:val="00E27A21"/>
    <w:rsid w:val="00E362BA"/>
    <w:rsid w:val="00E4040A"/>
    <w:rsid w:val="00E53FCB"/>
    <w:rsid w:val="00E605AD"/>
    <w:rsid w:val="00E62888"/>
    <w:rsid w:val="00E65F29"/>
    <w:rsid w:val="00E720FC"/>
    <w:rsid w:val="00E7610C"/>
    <w:rsid w:val="00E76760"/>
    <w:rsid w:val="00E806E2"/>
    <w:rsid w:val="00E84B9D"/>
    <w:rsid w:val="00E9653F"/>
    <w:rsid w:val="00EA2FD6"/>
    <w:rsid w:val="00EA3DE5"/>
    <w:rsid w:val="00EC776D"/>
    <w:rsid w:val="00ED5612"/>
    <w:rsid w:val="00EE5266"/>
    <w:rsid w:val="00EE5C12"/>
    <w:rsid w:val="00EF7511"/>
    <w:rsid w:val="00F04D26"/>
    <w:rsid w:val="00F13D81"/>
    <w:rsid w:val="00F343BA"/>
    <w:rsid w:val="00F3573A"/>
    <w:rsid w:val="00F36B90"/>
    <w:rsid w:val="00F37442"/>
    <w:rsid w:val="00F40979"/>
    <w:rsid w:val="00F50ED1"/>
    <w:rsid w:val="00F52176"/>
    <w:rsid w:val="00F52AEA"/>
    <w:rsid w:val="00F67EB9"/>
    <w:rsid w:val="00F71DC1"/>
    <w:rsid w:val="00F741A3"/>
    <w:rsid w:val="00F772EC"/>
    <w:rsid w:val="00F854AF"/>
    <w:rsid w:val="00F91071"/>
    <w:rsid w:val="00F9235A"/>
    <w:rsid w:val="00F93255"/>
    <w:rsid w:val="00F94629"/>
    <w:rsid w:val="00F948BC"/>
    <w:rsid w:val="00FA7919"/>
    <w:rsid w:val="00FB6BDB"/>
    <w:rsid w:val="00FC6AE4"/>
    <w:rsid w:val="00FC6BEF"/>
    <w:rsid w:val="00FF16E5"/>
    <w:rsid w:val="00FF4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Lentele"/>
    <w:basedOn w:val="Normal"/>
    <w:link w:val="ListParagraphChar"/>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uiPriority w:val="59"/>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Fußnotentext Char,Fußnotentext Char1 Char,Schriftart: 9 pt Char1 Char,Schriftart: 8 pt Char Char1 Char,Fußnotentext Char Char Char,f"/>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Fußnotentext Char Char,Fußnotentext Char1 Char Char,Schriftart: 9 pt Char1 Char Char,Schriftart: 8 pt Char Char1 Char Char,f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yperlink">
    <w:name w:val="Hyperlink"/>
    <w:basedOn w:val="DefaultParagraphFont"/>
    <w:uiPriority w:val="99"/>
    <w:unhideWhenUsed/>
    <w:rsid w:val="00361521"/>
    <w:rPr>
      <w:color w:val="467886" w:themeColor="hyperlink"/>
      <w:u w:val="single"/>
    </w:rPr>
  </w:style>
  <w:style w:type="character" w:styleId="UnresolvedMention">
    <w:name w:val="Unresolved Mention"/>
    <w:basedOn w:val="DefaultParagraphFont"/>
    <w:uiPriority w:val="99"/>
    <w:semiHidden/>
    <w:unhideWhenUsed/>
    <w:rsid w:val="00361521"/>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94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588975570">
      <w:bodyDiv w:val="1"/>
      <w:marLeft w:val="0"/>
      <w:marRight w:val="0"/>
      <w:marTop w:val="0"/>
      <w:marBottom w:val="0"/>
      <w:divBdr>
        <w:top w:val="none" w:sz="0" w:space="0" w:color="auto"/>
        <w:left w:val="none" w:sz="0" w:space="0" w:color="auto"/>
        <w:bottom w:val="none" w:sz="0" w:space="0" w:color="auto"/>
        <w:right w:val="none" w:sz="0" w:space="0" w:color="auto"/>
      </w:divBdr>
      <w:divsChild>
        <w:div w:id="522089101">
          <w:marLeft w:val="0"/>
          <w:marRight w:val="0"/>
          <w:marTop w:val="0"/>
          <w:marBottom w:val="0"/>
          <w:divBdr>
            <w:top w:val="none" w:sz="0" w:space="0" w:color="auto"/>
            <w:left w:val="none" w:sz="0" w:space="0" w:color="auto"/>
            <w:bottom w:val="none" w:sz="0" w:space="0" w:color="auto"/>
            <w:right w:val="none" w:sz="0" w:space="0" w:color="auto"/>
          </w:divBdr>
        </w:div>
        <w:div w:id="642009367">
          <w:marLeft w:val="0"/>
          <w:marRight w:val="0"/>
          <w:marTop w:val="0"/>
          <w:marBottom w:val="0"/>
          <w:divBdr>
            <w:top w:val="none" w:sz="0" w:space="0" w:color="auto"/>
            <w:left w:val="none" w:sz="0" w:space="0" w:color="auto"/>
            <w:bottom w:val="none" w:sz="0" w:space="0" w:color="auto"/>
            <w:right w:val="none" w:sz="0" w:space="0" w:color="auto"/>
          </w:divBdr>
        </w:div>
      </w:divsChild>
    </w:div>
    <w:div w:id="1279141272">
      <w:bodyDiv w:val="1"/>
      <w:marLeft w:val="0"/>
      <w:marRight w:val="0"/>
      <w:marTop w:val="0"/>
      <w:marBottom w:val="0"/>
      <w:divBdr>
        <w:top w:val="none" w:sz="0" w:space="0" w:color="auto"/>
        <w:left w:val="none" w:sz="0" w:space="0" w:color="auto"/>
        <w:bottom w:val="none" w:sz="0" w:space="0" w:color="auto"/>
        <w:right w:val="none" w:sz="0" w:space="0" w:color="auto"/>
      </w:divBdr>
      <w:divsChild>
        <w:div w:id="1251156382">
          <w:marLeft w:val="0"/>
          <w:marRight w:val="0"/>
          <w:marTop w:val="0"/>
          <w:marBottom w:val="0"/>
          <w:divBdr>
            <w:top w:val="none" w:sz="0" w:space="0" w:color="auto"/>
            <w:left w:val="none" w:sz="0" w:space="0" w:color="auto"/>
            <w:bottom w:val="none" w:sz="0" w:space="0" w:color="auto"/>
            <w:right w:val="none" w:sz="0" w:space="0" w:color="auto"/>
          </w:divBdr>
        </w:div>
        <w:div w:id="1233807112">
          <w:marLeft w:val="0"/>
          <w:marRight w:val="0"/>
          <w:marTop w:val="0"/>
          <w:marBottom w:val="0"/>
          <w:divBdr>
            <w:top w:val="none" w:sz="0" w:space="0" w:color="auto"/>
            <w:left w:val="none" w:sz="0" w:space="0" w:color="auto"/>
            <w:bottom w:val="none" w:sz="0" w:space="0" w:color="auto"/>
            <w:right w:val="none" w:sz="0" w:space="0" w:color="auto"/>
          </w:divBdr>
        </w:div>
      </w:divsChild>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691</Words>
  <Characters>3942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Jelena Kaleničenko</cp:lastModifiedBy>
  <cp:revision>15</cp:revision>
  <dcterms:created xsi:type="dcterms:W3CDTF">2025-10-23T07:58:00Z</dcterms:created>
  <dcterms:modified xsi:type="dcterms:W3CDTF">2025-10-23T11:41:00Z</dcterms:modified>
</cp:coreProperties>
</file>