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6996"/>
        <w:gridCol w:w="6997"/>
      </w:tblGrid>
      <w:tr w:rsidR="0073010F" w:rsidRPr="00851F05" w14:paraId="0FE82223" w14:textId="77777777" w:rsidTr="00E328C1">
        <w:tc>
          <w:tcPr>
            <w:tcW w:w="13993" w:type="dxa"/>
            <w:gridSpan w:val="2"/>
          </w:tcPr>
          <w:p w14:paraId="15610A7C" w14:textId="77777777" w:rsidR="0073010F" w:rsidRDefault="0073010F" w:rsidP="0073010F">
            <w:pPr>
              <w:jc w:val="center"/>
              <w:rPr>
                <w:rFonts w:ascii="Times New Roman" w:hAnsi="Times New Roman" w:cs="Times New Roman"/>
                <w:b/>
                <w:bCs/>
              </w:rPr>
            </w:pPr>
            <w:r>
              <w:rPr>
                <w:rFonts w:ascii="Times New Roman" w:hAnsi="Times New Roman" w:cs="Times New Roman"/>
                <w:b/>
                <w:bCs/>
              </w:rPr>
              <w:t xml:space="preserve">ATSAKYMAS Į VIEŠOJO PIRKIMO </w:t>
            </w:r>
          </w:p>
          <w:p w14:paraId="7FE5EFA6" w14:textId="77777777" w:rsidR="0073010F" w:rsidRDefault="0073010F" w:rsidP="0073010F">
            <w:pPr>
              <w:jc w:val="center"/>
              <w:rPr>
                <w:rFonts w:ascii="Times New Roman" w:hAnsi="Times New Roman" w:cs="Times New Roman"/>
                <w:b/>
                <w:bCs/>
                <w:caps/>
              </w:rPr>
            </w:pPr>
            <w:r>
              <w:rPr>
                <w:rFonts w:ascii="Times New Roman" w:hAnsi="Times New Roman" w:cs="Times New Roman"/>
                <w:b/>
                <w:bCs/>
              </w:rPr>
              <w:t>„</w:t>
            </w:r>
            <w:r w:rsidRPr="0073010F">
              <w:rPr>
                <w:rFonts w:ascii="Times New Roman" w:hAnsi="Times New Roman" w:cs="Times New Roman"/>
                <w:b/>
                <w:bCs/>
                <w:caps/>
              </w:rPr>
              <w:t>Teisinės paslaugos pagal Anglijos ir Jungtinių Amerikos Valstijų teisę“</w:t>
            </w:r>
            <w:r>
              <w:rPr>
                <w:rFonts w:ascii="Times New Roman" w:hAnsi="Times New Roman" w:cs="Times New Roman"/>
                <w:b/>
                <w:bCs/>
                <w:caps/>
              </w:rPr>
              <w:t xml:space="preserve"> </w:t>
            </w:r>
          </w:p>
          <w:p w14:paraId="283838CF" w14:textId="46DBF8D5" w:rsidR="0073010F" w:rsidRPr="00851F05" w:rsidRDefault="0073010F" w:rsidP="0073010F">
            <w:pPr>
              <w:jc w:val="center"/>
              <w:rPr>
                <w:rFonts w:ascii="Times New Roman" w:hAnsi="Times New Roman" w:cs="Times New Roman"/>
                <w:b/>
                <w:bCs/>
              </w:rPr>
            </w:pPr>
            <w:r>
              <w:rPr>
                <w:rFonts w:ascii="Times New Roman" w:hAnsi="Times New Roman" w:cs="Times New Roman"/>
                <w:b/>
                <w:bCs/>
                <w:caps/>
              </w:rPr>
              <w:t>RINKOS KONSULTACIJĄ</w:t>
            </w:r>
          </w:p>
        </w:tc>
      </w:tr>
      <w:tr w:rsidR="00851F05" w:rsidRPr="00851F05" w14:paraId="16E012D1" w14:textId="77777777" w:rsidTr="00EB6C3B">
        <w:tc>
          <w:tcPr>
            <w:tcW w:w="6996" w:type="dxa"/>
          </w:tcPr>
          <w:p w14:paraId="41CA913D" w14:textId="662EC46D" w:rsidR="00EB6C3B" w:rsidRPr="00851F05" w:rsidRDefault="00EB6C3B">
            <w:pPr>
              <w:rPr>
                <w:rFonts w:ascii="Times New Roman" w:hAnsi="Times New Roman" w:cs="Times New Roman"/>
                <w:b/>
                <w:bCs/>
              </w:rPr>
            </w:pPr>
            <w:r w:rsidRPr="00851F05">
              <w:rPr>
                <w:rFonts w:ascii="Times New Roman" w:hAnsi="Times New Roman" w:cs="Times New Roman"/>
                <w:b/>
                <w:bCs/>
              </w:rPr>
              <w:t>Tiekėjo klausimas/pasiūlymas</w:t>
            </w:r>
          </w:p>
        </w:tc>
        <w:tc>
          <w:tcPr>
            <w:tcW w:w="6997" w:type="dxa"/>
          </w:tcPr>
          <w:p w14:paraId="13329739" w14:textId="559D9D25" w:rsidR="00EB6C3B" w:rsidRPr="00851F05" w:rsidRDefault="00EB6C3B">
            <w:pPr>
              <w:rPr>
                <w:rFonts w:ascii="Times New Roman" w:hAnsi="Times New Roman" w:cs="Times New Roman"/>
                <w:b/>
                <w:bCs/>
              </w:rPr>
            </w:pPr>
            <w:r w:rsidRPr="00851F05">
              <w:rPr>
                <w:rFonts w:ascii="Times New Roman" w:hAnsi="Times New Roman" w:cs="Times New Roman"/>
                <w:b/>
                <w:bCs/>
              </w:rPr>
              <w:t>Perkančiosios organizacijos atsakymas/komentaras</w:t>
            </w:r>
          </w:p>
        </w:tc>
      </w:tr>
      <w:tr w:rsidR="00851F05" w:rsidRPr="00851F05" w14:paraId="39A0D049" w14:textId="77777777" w:rsidTr="00EB6C3B">
        <w:tc>
          <w:tcPr>
            <w:tcW w:w="6996" w:type="dxa"/>
          </w:tcPr>
          <w:p w14:paraId="492887C9" w14:textId="77777777" w:rsidR="00934F6F" w:rsidRPr="00851F05" w:rsidRDefault="00EB6C3B" w:rsidP="00EB6C3B">
            <w:pPr>
              <w:jc w:val="both"/>
              <w:rPr>
                <w:rFonts w:ascii="Times New Roman" w:hAnsi="Times New Roman" w:cs="Times New Roman"/>
                <w:b/>
                <w:bCs/>
              </w:rPr>
            </w:pPr>
            <w:r w:rsidRPr="00851F05">
              <w:rPr>
                <w:rFonts w:ascii="Times New Roman" w:hAnsi="Times New Roman" w:cs="Times New Roman"/>
                <w:b/>
                <w:bCs/>
              </w:rPr>
              <w:t xml:space="preserve">Dėl minimalių kvalifikacijos reikalavimų. (RK 2 priedas). </w:t>
            </w:r>
          </w:p>
          <w:p w14:paraId="3CABD442" w14:textId="5BE707F1" w:rsidR="00EB6C3B" w:rsidRPr="00851F05" w:rsidRDefault="00EB6C3B" w:rsidP="00EB6C3B">
            <w:pPr>
              <w:jc w:val="both"/>
              <w:rPr>
                <w:rFonts w:ascii="Times New Roman" w:hAnsi="Times New Roman" w:cs="Times New Roman"/>
                <w:i/>
                <w:iCs/>
              </w:rPr>
            </w:pPr>
            <w:r w:rsidRPr="00851F05">
              <w:rPr>
                <w:rFonts w:ascii="Times New Roman" w:hAnsi="Times New Roman" w:cs="Times New Roman"/>
                <w:i/>
                <w:iCs/>
              </w:rPr>
              <w:t xml:space="preserve">Ar turite pastabų dėl minimalių kvalifikacijos reikalavimų? Jeigu taip, prašome nurodyti pastabas. </w:t>
            </w:r>
          </w:p>
          <w:p w14:paraId="29A35F0B" w14:textId="77777777" w:rsidR="006B05C7" w:rsidRPr="00851F05" w:rsidRDefault="006B05C7" w:rsidP="00EB6C3B">
            <w:pPr>
              <w:jc w:val="both"/>
              <w:rPr>
                <w:rFonts w:ascii="Times New Roman" w:hAnsi="Times New Roman" w:cs="Times New Roman"/>
              </w:rPr>
            </w:pPr>
          </w:p>
          <w:p w14:paraId="0A7808F9" w14:textId="28BA6F95" w:rsidR="00CF7EE0" w:rsidRPr="00851F05" w:rsidRDefault="00EB6C3B" w:rsidP="00EB6C3B">
            <w:pPr>
              <w:jc w:val="both"/>
              <w:rPr>
                <w:rFonts w:ascii="Times New Roman" w:hAnsi="Times New Roman" w:cs="Times New Roman"/>
              </w:rPr>
            </w:pPr>
            <w:r w:rsidRPr="00851F05">
              <w:rPr>
                <w:rFonts w:ascii="Times New Roman" w:hAnsi="Times New Roman" w:cs="Times New Roman"/>
              </w:rPr>
              <w:t xml:space="preserve">- Tiekėjas siūlo Perkančiajai organizacijai minimaliuose kvalifikacijos reikalavimuose tiekėjui ir jo siūlomiems ekspertams kelti reikalavimą turėti patirties, teikiant teisines paslaugas pagal Anglijos ir Jungtinių Amerikos Valstijų teisę užsienio rinkose platinant ne mažiau kaip 1 (vieną) bet kurios šalies vyriausybės vertybinių popierių emisiją, neapsiribojant Europos Sąjungos šalių vyriausybėmis. Tikėtina, kad tokiu atveju pasiūlymus teiktų tiekėjai, kurie geba prisitaikyti prie sudėtingų sąlygų skirtingose rinkose, turi tarptautinės patirties bei išplėtotą partnerių arba padalinių visame pasaulyje tinklą, iš tokių tiekėjų galima tikėtis sklandesnio ir labiau valdomo paslaugų teikimo proceso ir tokie tiekėjai dažnai geba pasiūlyti kokybiškesnius, universalesnius ir labiau pritaikomus sprendimus. </w:t>
            </w:r>
          </w:p>
          <w:p w14:paraId="1ECD7DD6" w14:textId="77777777" w:rsidR="009E26BA" w:rsidRPr="00851F05" w:rsidRDefault="009E26BA" w:rsidP="00EB6C3B">
            <w:pPr>
              <w:jc w:val="both"/>
              <w:rPr>
                <w:rFonts w:ascii="Times New Roman" w:hAnsi="Times New Roman" w:cs="Times New Roman"/>
              </w:rPr>
            </w:pPr>
          </w:p>
          <w:p w14:paraId="0D9C7918" w14:textId="77777777" w:rsidR="00CF7EE0" w:rsidRPr="00851F05" w:rsidRDefault="00CF7EE0" w:rsidP="00EB6C3B">
            <w:pPr>
              <w:jc w:val="both"/>
              <w:rPr>
                <w:rFonts w:ascii="Times New Roman" w:hAnsi="Times New Roman" w:cs="Times New Roman"/>
              </w:rPr>
            </w:pPr>
          </w:p>
          <w:p w14:paraId="2D3E9CBD" w14:textId="32EDFEB1" w:rsidR="00EB6C3B" w:rsidRPr="00851F05" w:rsidRDefault="00EB6C3B" w:rsidP="00EB6C3B">
            <w:pPr>
              <w:jc w:val="both"/>
              <w:rPr>
                <w:rFonts w:ascii="Times New Roman" w:hAnsi="Times New Roman" w:cs="Times New Roman"/>
              </w:rPr>
            </w:pPr>
            <w:r w:rsidRPr="00851F05">
              <w:rPr>
                <w:rFonts w:ascii="Times New Roman" w:hAnsi="Times New Roman" w:cs="Times New Roman"/>
              </w:rPr>
              <w:t xml:space="preserve">- Taip pat Tiekėjas siūlo Perkančiajai organizacijai minimaliuose kvalifikacijos reikalavimuose tiekėjui ir jo siūlomiems ekspertams nustatyti reikalavimą turėti patirties, atstovaujant išskirtinai emitentui, t. y. turėti atstovavimo emitentui ir teisinių paslaugų teikimo patirtį pagal Anglijos ir Jungtinių Amerikos Valstijų teisę užsienio rinkose platinant vyriausybės vertybinių popierių emisijas. Ekspertų patirtis, atstovaujant išskirtinai emitentui leistų užtikrinti, kad jų kompetencija, sprendimai ir veikimas būtų orientuoti tik į emitento interesus. Tai padeda išvengti interesų konflikto, garantuoja aukštesnę paslaugų kokybę, tikslesnę rizikų analizę ir geresnį konsultacinį rezultatą. Emitento ir platintojo (pvz., banko) interesai skiriasi, nes emitento interesas yra gauti palankiausias sąlygas vertybinių popierių emisijai </w:t>
            </w:r>
            <w:r w:rsidRPr="00851F05">
              <w:rPr>
                <w:rFonts w:ascii="Times New Roman" w:hAnsi="Times New Roman" w:cs="Times New Roman"/>
              </w:rPr>
              <w:lastRenderedPageBreak/>
              <w:t xml:space="preserve">(pvz., mažesnės palūkanos, didesnis investuotojų susidomėjimas, palankios sutarties sąlygos), o platintojo interesas dažnai būna susijęs su siekiu parduoti emisiją pelningai sau, siekiant didesnių maržų ar kitų palankesnių sąlygų. Tik emitentui atstovavęs ekspertas dažnai geriau išmano emitento strateginius tikslus, vidaus procesus ir rizikas, nes tai yra jo veiklos kryptis, yra patyręs, rengiant teisinę ir finansinę dokumentaciją emitento vardu, derinant emitento poziciją su platintojais, investuotojais, reguliuotojais bei valdant emitento atsakomybes ir rizikas emisijos procese. </w:t>
            </w:r>
          </w:p>
        </w:tc>
        <w:tc>
          <w:tcPr>
            <w:tcW w:w="6997" w:type="dxa"/>
          </w:tcPr>
          <w:p w14:paraId="0D269C1F" w14:textId="18647FB5" w:rsidR="00297C1C" w:rsidRPr="00851F05" w:rsidRDefault="00297C1C" w:rsidP="00EB6C3B">
            <w:pPr>
              <w:jc w:val="both"/>
              <w:rPr>
                <w:rFonts w:ascii="Times New Roman" w:hAnsi="Times New Roman" w:cs="Times New Roman"/>
                <w:b/>
                <w:bCs/>
              </w:rPr>
            </w:pPr>
            <w:r w:rsidRPr="00851F05">
              <w:rPr>
                <w:rFonts w:ascii="Times New Roman" w:hAnsi="Times New Roman" w:cs="Times New Roman"/>
                <w:b/>
                <w:bCs/>
              </w:rPr>
              <w:lastRenderedPageBreak/>
              <w:t>Atsižvelgt</w:t>
            </w:r>
            <w:r w:rsidR="00851F05" w:rsidRPr="00851F05">
              <w:rPr>
                <w:rFonts w:ascii="Times New Roman" w:hAnsi="Times New Roman" w:cs="Times New Roman"/>
                <w:b/>
                <w:bCs/>
              </w:rPr>
              <w:t>i.</w:t>
            </w:r>
          </w:p>
          <w:p w14:paraId="450C4FDD" w14:textId="0690B1F8" w:rsidR="00CF7EE0" w:rsidRPr="00851F05" w:rsidRDefault="003C0023" w:rsidP="00EB6C3B">
            <w:pPr>
              <w:jc w:val="both"/>
              <w:rPr>
                <w:rFonts w:ascii="Times New Roman" w:hAnsi="Times New Roman" w:cs="Times New Roman"/>
              </w:rPr>
            </w:pPr>
            <w:r>
              <w:rPr>
                <w:rFonts w:ascii="Times New Roman" w:hAnsi="Times New Roman" w:cs="Times New Roman"/>
              </w:rPr>
              <w:t>V</w:t>
            </w:r>
            <w:r w:rsidR="00E75200" w:rsidRPr="00851F05">
              <w:rPr>
                <w:rFonts w:ascii="Times New Roman" w:hAnsi="Times New Roman" w:cs="Times New Roman"/>
              </w:rPr>
              <w:t xml:space="preserve">ertybinių popierių platinimas pagal Anglijos ir Jungtinių Amerikos Valstijų teisę </w:t>
            </w:r>
            <w:r w:rsidR="00CF7EE0" w:rsidRPr="00851F05">
              <w:rPr>
                <w:rFonts w:ascii="Times New Roman" w:hAnsi="Times New Roman" w:cs="Times New Roman"/>
              </w:rPr>
              <w:t>kartu atitinka ir</w:t>
            </w:r>
            <w:r w:rsidR="00E75200" w:rsidRPr="00851F05">
              <w:rPr>
                <w:rFonts w:ascii="Times New Roman" w:hAnsi="Times New Roman" w:cs="Times New Roman"/>
              </w:rPr>
              <w:t xml:space="preserve"> bendruosius </w:t>
            </w:r>
            <w:proofErr w:type="spellStart"/>
            <w:r w:rsidR="00E75200" w:rsidRPr="00851F05">
              <w:rPr>
                <w:rFonts w:ascii="Times New Roman" w:hAnsi="Times New Roman" w:cs="Times New Roman"/>
              </w:rPr>
              <w:t>RegS</w:t>
            </w:r>
            <w:proofErr w:type="spellEnd"/>
            <w:r w:rsidR="00E75200" w:rsidRPr="00851F05">
              <w:rPr>
                <w:rFonts w:ascii="Times New Roman" w:hAnsi="Times New Roman" w:cs="Times New Roman"/>
              </w:rPr>
              <w:t>/144A reikalavimus</w:t>
            </w:r>
            <w:r w:rsidR="00CF7EE0" w:rsidRPr="00851F05">
              <w:rPr>
                <w:rFonts w:ascii="Times New Roman" w:hAnsi="Times New Roman" w:cs="Times New Roman"/>
              </w:rPr>
              <w:t>.</w:t>
            </w:r>
            <w:r w:rsidR="00E75200" w:rsidRPr="00851F05">
              <w:rPr>
                <w:rFonts w:ascii="Times New Roman" w:hAnsi="Times New Roman" w:cs="Times New Roman"/>
              </w:rPr>
              <w:t xml:space="preserve"> Šiuo atveju Perkančioji organizacija</w:t>
            </w:r>
            <w:r w:rsidR="00CF7EE0" w:rsidRPr="00851F05">
              <w:rPr>
                <w:rFonts w:ascii="Times New Roman" w:hAnsi="Times New Roman" w:cs="Times New Roman"/>
              </w:rPr>
              <w:t xml:space="preserve"> sutinka pakoreguoti minimalius kvalifikacinius reikalavimus, t.y. kvalifikacijos reikalavimuose tiekėjui ir jo siūlomiems ekspertams kelti reikalavimą turėti patirties, teikiant teisines paslaugas pagal Anglijos ir Jungtinių Amerikos Valstijų teisę užsienio rinkose platinant ne mažiau kaip 1 </w:t>
            </w:r>
            <w:proofErr w:type="gramStart"/>
            <w:r w:rsidR="00CF7EE0" w:rsidRPr="00851F05">
              <w:rPr>
                <w:rFonts w:ascii="Times New Roman" w:hAnsi="Times New Roman" w:cs="Times New Roman"/>
              </w:rPr>
              <w:t>(</w:t>
            </w:r>
            <w:proofErr w:type="gramEnd"/>
            <w:r w:rsidR="00CF7EE0" w:rsidRPr="00851F05">
              <w:rPr>
                <w:rFonts w:ascii="Times New Roman" w:hAnsi="Times New Roman" w:cs="Times New Roman"/>
              </w:rPr>
              <w:t>vieną) bet kurios šalies vyriausybės vertybinių popierių emisiją.</w:t>
            </w:r>
          </w:p>
          <w:p w14:paraId="6D9FDBA6" w14:textId="6DFC81B3" w:rsidR="009E26BA" w:rsidRDefault="009E26BA" w:rsidP="00EB6C3B">
            <w:pPr>
              <w:jc w:val="both"/>
              <w:rPr>
                <w:rFonts w:ascii="Times New Roman" w:hAnsi="Times New Roman" w:cs="Times New Roman"/>
              </w:rPr>
            </w:pPr>
          </w:p>
          <w:p w14:paraId="62C30E34" w14:textId="77777777" w:rsidR="003C0023" w:rsidRDefault="003C0023" w:rsidP="00EB6C3B">
            <w:pPr>
              <w:jc w:val="both"/>
              <w:rPr>
                <w:rFonts w:ascii="Times New Roman" w:hAnsi="Times New Roman" w:cs="Times New Roman"/>
              </w:rPr>
            </w:pPr>
          </w:p>
          <w:p w14:paraId="01B5BB83" w14:textId="77777777" w:rsidR="003C0023" w:rsidRDefault="003C0023" w:rsidP="00EB6C3B">
            <w:pPr>
              <w:jc w:val="both"/>
              <w:rPr>
                <w:rFonts w:ascii="Times New Roman" w:hAnsi="Times New Roman" w:cs="Times New Roman"/>
              </w:rPr>
            </w:pPr>
          </w:p>
          <w:p w14:paraId="4BC8FF3A" w14:textId="77777777" w:rsidR="003C0023" w:rsidRDefault="003C0023" w:rsidP="00EB6C3B">
            <w:pPr>
              <w:jc w:val="both"/>
              <w:rPr>
                <w:rFonts w:ascii="Times New Roman" w:hAnsi="Times New Roman" w:cs="Times New Roman"/>
              </w:rPr>
            </w:pPr>
          </w:p>
          <w:p w14:paraId="4B416D6D" w14:textId="77777777" w:rsidR="003C0023" w:rsidRDefault="003C0023" w:rsidP="00EB6C3B">
            <w:pPr>
              <w:jc w:val="both"/>
              <w:rPr>
                <w:rFonts w:ascii="Times New Roman" w:hAnsi="Times New Roman" w:cs="Times New Roman"/>
              </w:rPr>
            </w:pPr>
          </w:p>
          <w:p w14:paraId="030D2565" w14:textId="77777777" w:rsidR="003C0023" w:rsidRDefault="003C0023" w:rsidP="00EB6C3B">
            <w:pPr>
              <w:jc w:val="both"/>
              <w:rPr>
                <w:rFonts w:ascii="Times New Roman" w:hAnsi="Times New Roman" w:cs="Times New Roman"/>
              </w:rPr>
            </w:pPr>
          </w:p>
          <w:p w14:paraId="4A29D336" w14:textId="77777777" w:rsidR="003C0023" w:rsidRDefault="003C0023" w:rsidP="00EB6C3B">
            <w:pPr>
              <w:jc w:val="both"/>
              <w:rPr>
                <w:rFonts w:ascii="Times New Roman" w:hAnsi="Times New Roman" w:cs="Times New Roman"/>
              </w:rPr>
            </w:pPr>
          </w:p>
          <w:p w14:paraId="1437C809" w14:textId="77777777" w:rsidR="003C0023" w:rsidRDefault="003C0023" w:rsidP="00EB6C3B">
            <w:pPr>
              <w:jc w:val="both"/>
              <w:rPr>
                <w:rFonts w:ascii="Times New Roman" w:hAnsi="Times New Roman" w:cs="Times New Roman"/>
              </w:rPr>
            </w:pPr>
          </w:p>
          <w:p w14:paraId="4C51AB9E" w14:textId="77777777" w:rsidR="003C0023" w:rsidRPr="00851F05" w:rsidRDefault="003C0023" w:rsidP="00EB6C3B">
            <w:pPr>
              <w:jc w:val="both"/>
              <w:rPr>
                <w:rFonts w:ascii="Times New Roman" w:hAnsi="Times New Roman" w:cs="Times New Roman"/>
              </w:rPr>
            </w:pPr>
          </w:p>
          <w:p w14:paraId="537501AD" w14:textId="77777777" w:rsidR="00CF7EE0" w:rsidRPr="00851F05" w:rsidRDefault="00CF7EE0" w:rsidP="00EB6C3B">
            <w:pPr>
              <w:jc w:val="both"/>
              <w:rPr>
                <w:rFonts w:ascii="Times New Roman" w:hAnsi="Times New Roman" w:cs="Times New Roman"/>
                <w:b/>
                <w:bCs/>
              </w:rPr>
            </w:pPr>
            <w:r w:rsidRPr="00851F05">
              <w:rPr>
                <w:rFonts w:ascii="Times New Roman" w:hAnsi="Times New Roman" w:cs="Times New Roman"/>
                <w:b/>
                <w:bCs/>
              </w:rPr>
              <w:t>Neatsižvelgti.</w:t>
            </w:r>
          </w:p>
          <w:p w14:paraId="560FDD12" w14:textId="444F795F" w:rsidR="00CF7EE0" w:rsidRPr="00851F05" w:rsidRDefault="00CF7EE0" w:rsidP="00EB6C3B">
            <w:pPr>
              <w:jc w:val="both"/>
              <w:rPr>
                <w:rFonts w:ascii="Times New Roman" w:hAnsi="Times New Roman" w:cs="Times New Roman"/>
              </w:rPr>
            </w:pPr>
            <w:r w:rsidRPr="00851F05">
              <w:rPr>
                <w:rFonts w:ascii="Times New Roman" w:hAnsi="Times New Roman" w:cs="Times New Roman"/>
              </w:rPr>
              <w:t>Atsižvelgiant į tai, kad Perkančioji organizacija numato leisti Lietuvos Respublikos Vyriausybės vertybinius popierius pagal Anglijos ir Jungtinių Amerikos Valstijų teisę</w:t>
            </w:r>
            <w:r w:rsidR="00B92CF4" w:rsidRPr="00851F05">
              <w:rPr>
                <w:rFonts w:ascii="Times New Roman" w:hAnsi="Times New Roman" w:cs="Times New Roman"/>
              </w:rPr>
              <w:t>,</w:t>
            </w:r>
            <w:r w:rsidRPr="00851F05">
              <w:rPr>
                <w:rFonts w:ascii="Times New Roman" w:hAnsi="Times New Roman" w:cs="Times New Roman"/>
              </w:rPr>
              <w:t xml:space="preserve"> ir į tai, kad vertybinių popierių dokumentacija turi atitikti bendruosius </w:t>
            </w:r>
            <w:proofErr w:type="spellStart"/>
            <w:r w:rsidRPr="00851F05">
              <w:rPr>
                <w:rFonts w:ascii="Times New Roman" w:hAnsi="Times New Roman" w:cs="Times New Roman"/>
              </w:rPr>
              <w:t>RegS</w:t>
            </w:r>
            <w:proofErr w:type="spellEnd"/>
            <w:r w:rsidRPr="00851F05">
              <w:rPr>
                <w:rFonts w:ascii="Times New Roman" w:hAnsi="Times New Roman" w:cs="Times New Roman"/>
              </w:rPr>
              <w:t>/144A reikalavimus tiek iš emitento, tiek iš platintojo pusės, manome, kad toks reikalavimas turėti patirties, atstovaujant išskirtinai emitentui, neturėtų padėti išvengti interesų konflikto, garantuoti aukštesnės paslaugų kokybės</w:t>
            </w:r>
            <w:r w:rsidR="00B92CF4" w:rsidRPr="00851F05">
              <w:rPr>
                <w:rFonts w:ascii="Times New Roman" w:hAnsi="Times New Roman" w:cs="Times New Roman"/>
              </w:rPr>
              <w:t xml:space="preserve"> ar</w:t>
            </w:r>
            <w:r w:rsidRPr="00851F05">
              <w:rPr>
                <w:rFonts w:ascii="Times New Roman" w:hAnsi="Times New Roman" w:cs="Times New Roman"/>
              </w:rPr>
              <w:t xml:space="preserve"> tikslesnės rizikų analizės, o kaip tik užtikrinti geresnį konsultacinį rezultatą, suprantant ne tik emitento, bet ir platintojo interesus.</w:t>
            </w:r>
          </w:p>
        </w:tc>
      </w:tr>
      <w:tr w:rsidR="00851F05" w:rsidRPr="00851F05" w14:paraId="27B2E0B5" w14:textId="77777777" w:rsidTr="00934F6F">
        <w:trPr>
          <w:trHeight w:val="1337"/>
        </w:trPr>
        <w:tc>
          <w:tcPr>
            <w:tcW w:w="6996" w:type="dxa"/>
          </w:tcPr>
          <w:p w14:paraId="2493A6DF" w14:textId="77777777" w:rsidR="00EB6C3B" w:rsidRPr="00851F05" w:rsidRDefault="00EB6C3B" w:rsidP="00934F6F">
            <w:pPr>
              <w:jc w:val="both"/>
              <w:rPr>
                <w:rFonts w:ascii="Times New Roman" w:hAnsi="Times New Roman" w:cs="Times New Roman"/>
              </w:rPr>
            </w:pPr>
            <w:r w:rsidRPr="00851F05">
              <w:rPr>
                <w:rFonts w:ascii="Times New Roman" w:hAnsi="Times New Roman" w:cs="Times New Roman"/>
                <w:b/>
                <w:bCs/>
              </w:rPr>
              <w:t xml:space="preserve">Kitos pastabos ir pasiūlymai. </w:t>
            </w:r>
            <w:r w:rsidRPr="00851F05">
              <w:rPr>
                <w:rFonts w:ascii="Times New Roman" w:hAnsi="Times New Roman" w:cs="Times New Roman"/>
                <w:i/>
                <w:iCs/>
              </w:rPr>
              <w:t xml:space="preserve">Jei turite kitų pastabų ir pasiūlymų dėl numatomo Pirkimo, pateikti. </w:t>
            </w:r>
          </w:p>
          <w:p w14:paraId="6B19D7AD" w14:textId="77777777" w:rsidR="00EB6C3B" w:rsidRPr="00851F05" w:rsidRDefault="00EB6C3B" w:rsidP="00934F6F">
            <w:pPr>
              <w:jc w:val="both"/>
              <w:rPr>
                <w:rFonts w:ascii="Times New Roman" w:hAnsi="Times New Roman" w:cs="Times New Roman"/>
              </w:rPr>
            </w:pPr>
            <w:r w:rsidRPr="00851F05">
              <w:rPr>
                <w:rFonts w:ascii="Times New Roman" w:hAnsi="Times New Roman" w:cs="Times New Roman"/>
              </w:rPr>
              <w:t xml:space="preserve">Tiekėjas atkreipia Perkančiosios organizacijos dėmesį, kad Viešųjų pirkimų tarnyba (toliau - </w:t>
            </w:r>
            <w:r w:rsidRPr="00851F05">
              <w:rPr>
                <w:rFonts w:ascii="Times New Roman" w:hAnsi="Times New Roman" w:cs="Times New Roman"/>
                <w:b/>
                <w:bCs/>
              </w:rPr>
              <w:t>VPT</w:t>
            </w:r>
            <w:r w:rsidRPr="00851F05">
              <w:rPr>
                <w:rFonts w:ascii="Times New Roman" w:hAnsi="Times New Roman" w:cs="Times New Roman"/>
              </w:rPr>
              <w:t xml:space="preserve">) savo metodikose ir gairėse yra pateikusi rekomendacijų perkančiosioms organizacijoms ir perkantiesiems subjektams, ekonomiškai naudingiausius pasiūlymus vertinti pagal kainos (ar sąnaudų) ir kokybės santykį, o ne tik pagal mažiausią kainą. Vertinimo kriterijai gali būti pasirenkami pačių perkančiųjų organizacijų/subjektų, o aiškiai apibrėžti kokybės vertinimo parametrai, su nustatytais lyginamaisiais svoriais, leidžia įsigyti kokybiškesnes prekes/paslaugas/darbus už optimaliausią kainą, t. y. siekiant geresnės vertės už pinigus viešuosiuose pirkimuose. Todėl Tiekėjas siūlo Perkančiajai organizacijai nustatyti laimėtoją pagal ekonomiškai naudingiausią pasiūlymą, vertinant tiek kainą, tiek kokybinius aspektus, kurie turi esminės įtakos paslaugų tinkamumui, efektyvumui bei ilgalaikei vertei. Ekonominio naudingumo vertinimo kriterijai galėtų būti kaina ir kokybė (tiekėjų papildoma patirtis), kainai skiriant 40 %, o kokybei – 60 %. </w:t>
            </w:r>
          </w:p>
          <w:p w14:paraId="566E75C9" w14:textId="77777777" w:rsidR="00934F6F" w:rsidRPr="00851F05" w:rsidRDefault="00934F6F" w:rsidP="00934F6F">
            <w:pPr>
              <w:jc w:val="both"/>
              <w:rPr>
                <w:rFonts w:ascii="Times New Roman" w:hAnsi="Times New Roman" w:cs="Times New Roman"/>
              </w:rPr>
            </w:pPr>
          </w:p>
          <w:p w14:paraId="5320AF93" w14:textId="7BED3746" w:rsidR="00EB6C3B" w:rsidRPr="00851F05" w:rsidRDefault="00EB6C3B" w:rsidP="00934F6F">
            <w:pPr>
              <w:jc w:val="both"/>
              <w:rPr>
                <w:rFonts w:ascii="Times New Roman" w:hAnsi="Times New Roman" w:cs="Times New Roman"/>
              </w:rPr>
            </w:pPr>
            <w:r w:rsidRPr="00851F05">
              <w:rPr>
                <w:rFonts w:ascii="Times New Roman" w:hAnsi="Times New Roman" w:cs="Times New Roman"/>
              </w:rPr>
              <w:t xml:space="preserve">Pasiūlymo kainos ekonominio naudingumo balus siūlytina suteikti nelyginant tiekėjų tarpusavyje, o nustatant maksimalią Perkančiajai organizacijai priimtiną kainą ir taikyti tokią ar panašią formulę: </w:t>
            </w:r>
          </w:p>
          <w:p w14:paraId="27FC6A94" w14:textId="6825AF59" w:rsidR="00EB6C3B" w:rsidRPr="00851F05" w:rsidRDefault="00EB6C3B" w:rsidP="00934F6F">
            <w:pPr>
              <w:jc w:val="both"/>
              <w:rPr>
                <w:rFonts w:ascii="Times New Roman" w:hAnsi="Times New Roman" w:cs="Times New Roman"/>
              </w:rPr>
            </w:pPr>
            <w:r w:rsidRPr="00851F05">
              <w:rPr>
                <w:rFonts w:ascii="Times New Roman" w:hAnsi="Times New Roman" w:cs="Times New Roman"/>
                <w:i/>
                <w:iCs/>
              </w:rPr>
              <w:t xml:space="preserve">C (kaina) = ((Maksimalus Perkančiojo subjekto nustatyta kaina - Tiekėjo pasiūlyta kaina) / Maksimali Bendrovės nustatyta kaina) × Lyginamasis svoris. </w:t>
            </w:r>
          </w:p>
          <w:p w14:paraId="199170E2" w14:textId="77777777" w:rsidR="00EB6C3B" w:rsidRPr="00851F05" w:rsidRDefault="00EB6C3B" w:rsidP="00934F6F">
            <w:pPr>
              <w:jc w:val="both"/>
              <w:rPr>
                <w:rFonts w:ascii="Times New Roman" w:hAnsi="Times New Roman" w:cs="Times New Roman"/>
              </w:rPr>
            </w:pPr>
          </w:p>
          <w:p w14:paraId="4B0CA8F3" w14:textId="77777777" w:rsidR="00934F6F" w:rsidRPr="00851F05" w:rsidRDefault="00EB6C3B" w:rsidP="00934F6F">
            <w:pPr>
              <w:jc w:val="both"/>
              <w:rPr>
                <w:rFonts w:ascii="Times New Roman" w:hAnsi="Times New Roman" w:cs="Times New Roman"/>
              </w:rPr>
            </w:pPr>
            <w:r w:rsidRPr="00851F05">
              <w:rPr>
                <w:rFonts w:ascii="Times New Roman" w:hAnsi="Times New Roman" w:cs="Times New Roman"/>
              </w:rPr>
              <w:t xml:space="preserve">Tokiu atveju tiekėjai galėtų palyginti savo siūlomą kainą su Perkančiosios organizacijos planuojama, o taip pat tiekėjų pasiūlymai nebūtų lyginami tarpusavyje, didėtų konkurencija. </w:t>
            </w:r>
          </w:p>
          <w:p w14:paraId="69C783E7" w14:textId="77777777" w:rsidR="00934F6F" w:rsidRPr="00851F05" w:rsidRDefault="00934F6F" w:rsidP="00934F6F">
            <w:pPr>
              <w:jc w:val="both"/>
              <w:rPr>
                <w:rFonts w:ascii="Times New Roman" w:hAnsi="Times New Roman" w:cs="Times New Roman"/>
              </w:rPr>
            </w:pPr>
          </w:p>
          <w:p w14:paraId="669186A7" w14:textId="3FBA5123" w:rsidR="00EB6C3B" w:rsidRPr="00851F05" w:rsidRDefault="00EB6C3B" w:rsidP="00934F6F">
            <w:pPr>
              <w:jc w:val="both"/>
              <w:rPr>
                <w:rFonts w:ascii="Times New Roman" w:hAnsi="Times New Roman" w:cs="Times New Roman"/>
              </w:rPr>
            </w:pPr>
            <w:r w:rsidRPr="00851F05">
              <w:rPr>
                <w:rFonts w:ascii="Times New Roman" w:hAnsi="Times New Roman" w:cs="Times New Roman"/>
              </w:rPr>
              <w:t xml:space="preserve">Kokybės vertinimui siūlytina nurodyti tiekėjo siūlomiems ekspertas turėti papildomos patirties pvz.: per pastaruosius 3 metus suteiktų teisinių konsultacijų bent vienos valstybės vertybinių popierių emisijų platinimo metu, už 3 projektus suteikiant papildomus balus. </w:t>
            </w:r>
          </w:p>
          <w:p w14:paraId="696344B4" w14:textId="6A724AE0" w:rsidR="00EB6C3B" w:rsidRPr="00851F05" w:rsidRDefault="00EB6C3B" w:rsidP="00934F6F">
            <w:pPr>
              <w:jc w:val="both"/>
              <w:rPr>
                <w:rFonts w:ascii="Times New Roman" w:hAnsi="Times New Roman" w:cs="Times New Roman"/>
              </w:rPr>
            </w:pPr>
          </w:p>
        </w:tc>
        <w:tc>
          <w:tcPr>
            <w:tcW w:w="6997" w:type="dxa"/>
          </w:tcPr>
          <w:p w14:paraId="2D641C1F" w14:textId="77777777" w:rsidR="00CF7EE0" w:rsidRPr="00851F05" w:rsidRDefault="009E26BA" w:rsidP="00934F6F">
            <w:pPr>
              <w:jc w:val="both"/>
              <w:rPr>
                <w:rFonts w:ascii="Times New Roman" w:hAnsi="Times New Roman" w:cs="Times New Roman"/>
                <w:b/>
                <w:bCs/>
              </w:rPr>
            </w:pPr>
            <w:r w:rsidRPr="00851F05">
              <w:rPr>
                <w:rFonts w:ascii="Times New Roman" w:hAnsi="Times New Roman" w:cs="Times New Roman"/>
                <w:b/>
                <w:bCs/>
              </w:rPr>
              <w:lastRenderedPageBreak/>
              <w:t>Neatsižvelgti.</w:t>
            </w:r>
          </w:p>
          <w:p w14:paraId="7B901EC9" w14:textId="07B43DA5" w:rsidR="009E26BA" w:rsidRPr="009E26BA" w:rsidRDefault="009E26BA" w:rsidP="009E26BA">
            <w:pPr>
              <w:jc w:val="both"/>
              <w:rPr>
                <w:rFonts w:ascii="Times New Roman" w:hAnsi="Times New Roman" w:cs="Times New Roman"/>
              </w:rPr>
            </w:pPr>
            <w:r w:rsidRPr="009E26BA">
              <w:rPr>
                <w:rFonts w:ascii="Times New Roman" w:hAnsi="Times New Roman" w:cs="Times New Roman"/>
              </w:rPr>
              <w:t>Įvertinus siūlymą pirkimo laimėtoją nustatyti pagal ekonominio naudingumo vertinimo kriterijus, pažymėtina, kad šio pirkimo objekto specifika ir ankstesnė vykdytų pirkimų praktika nerodo tokio poreikio. Minėtoje paslaugų srityje konkurencija yra itin ribota – ankstesniuose pirkimuose faktiškai dalyvaudavo tik vienas tiekėjas, todėl ekonominio naudingumo kriterijų taikymas šiuo atveju nesukurtų papildomos vertės bei neužtikrintų realaus tiekėjų varžymosi dėl kokybinių parametrų</w:t>
            </w:r>
            <w:r w:rsidR="00851F05" w:rsidRPr="00851F05">
              <w:rPr>
                <w:rFonts w:ascii="Times New Roman" w:hAnsi="Times New Roman" w:cs="Times New Roman"/>
              </w:rPr>
              <w:t>, ištęstų pirkimo procedūras.</w:t>
            </w:r>
          </w:p>
          <w:p w14:paraId="62F9F436" w14:textId="35FF0367" w:rsidR="009E26BA" w:rsidRPr="00851F05" w:rsidRDefault="009E26BA" w:rsidP="009E26BA">
            <w:pPr>
              <w:jc w:val="both"/>
              <w:rPr>
                <w:rFonts w:ascii="Times New Roman" w:hAnsi="Times New Roman" w:cs="Times New Roman"/>
              </w:rPr>
            </w:pPr>
            <w:r w:rsidRPr="009E26BA">
              <w:rPr>
                <w:rFonts w:ascii="Times New Roman" w:hAnsi="Times New Roman" w:cs="Times New Roman"/>
              </w:rPr>
              <w:t>Perkančioji organizacija mano, kad nustatyti minimalūs kvalifikacijos reikalavimai yra pakankami siekiant užtikrinti tinkamą paslaugų suteikimą</w:t>
            </w:r>
            <w:r w:rsidRPr="00851F05">
              <w:rPr>
                <w:rFonts w:ascii="Times New Roman" w:hAnsi="Times New Roman" w:cs="Times New Roman"/>
              </w:rPr>
              <w:t>.</w:t>
            </w:r>
          </w:p>
          <w:p w14:paraId="204F9279" w14:textId="0A657CF2" w:rsidR="009E26BA" w:rsidRPr="00851F05" w:rsidRDefault="009E26BA" w:rsidP="00934F6F">
            <w:pPr>
              <w:jc w:val="both"/>
              <w:rPr>
                <w:rFonts w:ascii="Times New Roman" w:hAnsi="Times New Roman" w:cs="Times New Roman"/>
              </w:rPr>
            </w:pPr>
          </w:p>
        </w:tc>
      </w:tr>
      <w:tr w:rsidR="00851F05" w:rsidRPr="00851F05" w14:paraId="359942E3" w14:textId="77777777" w:rsidTr="00EB6C3B">
        <w:trPr>
          <w:trHeight w:val="1702"/>
        </w:trPr>
        <w:tc>
          <w:tcPr>
            <w:tcW w:w="6996" w:type="dxa"/>
          </w:tcPr>
          <w:p w14:paraId="56D9190B" w14:textId="77777777" w:rsidR="00934F6F" w:rsidRPr="00851F05" w:rsidRDefault="00934F6F" w:rsidP="00934F6F">
            <w:pPr>
              <w:jc w:val="both"/>
              <w:rPr>
                <w:rFonts w:ascii="Times New Roman" w:hAnsi="Times New Roman" w:cs="Times New Roman"/>
                <w:b/>
                <w:bCs/>
              </w:rPr>
            </w:pPr>
            <w:r w:rsidRPr="00851F05">
              <w:rPr>
                <w:rFonts w:ascii="Times New Roman" w:hAnsi="Times New Roman" w:cs="Times New Roman"/>
              </w:rPr>
              <w:t xml:space="preserve">Tiekėjas siūlo nekelti reikalavimo pateikti pasiūlymo ir/arba sutarties vykdymo užtikrinimo banko garantiją arba draudimo bendrovės laidavimo raštą, nes tai ištęsia pasiūlymų rengimo laiką (tiekėjai turi skirti laiko ir pajėgumų užtikrinimo dokumentų gavimui), o tai pat, tai sudaro papildomų išlaidų tiekėjams, kurios, tikėtina, gali išbranginti pasiūlymą Perkančiajai organizacijai. </w:t>
            </w:r>
          </w:p>
        </w:tc>
        <w:tc>
          <w:tcPr>
            <w:tcW w:w="6997" w:type="dxa"/>
          </w:tcPr>
          <w:p w14:paraId="2981B0D6" w14:textId="77777777" w:rsidR="00851F05" w:rsidRPr="00851F05" w:rsidRDefault="00166E13" w:rsidP="00934F6F">
            <w:pPr>
              <w:jc w:val="both"/>
              <w:rPr>
                <w:rFonts w:ascii="Times New Roman" w:hAnsi="Times New Roman" w:cs="Times New Roman"/>
                <w:b/>
                <w:bCs/>
              </w:rPr>
            </w:pPr>
            <w:r w:rsidRPr="00851F05">
              <w:rPr>
                <w:rFonts w:ascii="Times New Roman" w:hAnsi="Times New Roman" w:cs="Times New Roman"/>
                <w:b/>
                <w:bCs/>
              </w:rPr>
              <w:t>Neatsižvelg</w:t>
            </w:r>
            <w:r w:rsidR="009E26BA" w:rsidRPr="00851F05">
              <w:rPr>
                <w:rFonts w:ascii="Times New Roman" w:hAnsi="Times New Roman" w:cs="Times New Roman"/>
                <w:b/>
                <w:bCs/>
              </w:rPr>
              <w:t xml:space="preserve">ti. </w:t>
            </w:r>
          </w:p>
          <w:p w14:paraId="0F80F149" w14:textId="2C0329DC" w:rsidR="009E26BA" w:rsidRPr="00851F05" w:rsidRDefault="00DE2B34" w:rsidP="00934F6F">
            <w:pPr>
              <w:jc w:val="both"/>
              <w:rPr>
                <w:rFonts w:ascii="Times New Roman" w:hAnsi="Times New Roman" w:cs="Times New Roman"/>
              </w:rPr>
            </w:pPr>
            <w:r>
              <w:rPr>
                <w:rFonts w:ascii="Times New Roman" w:hAnsi="Times New Roman" w:cs="Times New Roman"/>
              </w:rPr>
              <w:t>Atkreipiame dėmesį, kad</w:t>
            </w:r>
            <w:r w:rsidRPr="00851F05">
              <w:rPr>
                <w:rFonts w:ascii="Times New Roman" w:hAnsi="Times New Roman" w:cs="Times New Roman"/>
              </w:rPr>
              <w:t xml:space="preserve"> </w:t>
            </w:r>
            <w:r w:rsidR="00851F05" w:rsidRPr="00851F05">
              <w:rPr>
                <w:rFonts w:ascii="Times New Roman" w:hAnsi="Times New Roman" w:cs="Times New Roman"/>
              </w:rPr>
              <w:t>teisin</w:t>
            </w:r>
            <w:r>
              <w:rPr>
                <w:rFonts w:ascii="Times New Roman" w:hAnsi="Times New Roman" w:cs="Times New Roman"/>
              </w:rPr>
              <w:t>ės</w:t>
            </w:r>
            <w:r w:rsidR="00851F05" w:rsidRPr="00851F05">
              <w:rPr>
                <w:rFonts w:ascii="Times New Roman" w:hAnsi="Times New Roman" w:cs="Times New Roman"/>
              </w:rPr>
              <w:t xml:space="preserve"> paslaug</w:t>
            </w:r>
            <w:r>
              <w:rPr>
                <w:rFonts w:ascii="Times New Roman" w:hAnsi="Times New Roman" w:cs="Times New Roman"/>
              </w:rPr>
              <w:t>os</w:t>
            </w:r>
            <w:r w:rsidR="00851F05" w:rsidRPr="00851F05">
              <w:rPr>
                <w:rFonts w:ascii="Times New Roman" w:hAnsi="Times New Roman" w:cs="Times New Roman"/>
              </w:rPr>
              <w:t xml:space="preserve"> </w:t>
            </w:r>
            <w:r>
              <w:rPr>
                <w:rFonts w:ascii="Times New Roman" w:hAnsi="Times New Roman" w:cs="Times New Roman"/>
              </w:rPr>
              <w:t xml:space="preserve">bus </w:t>
            </w:r>
            <w:r w:rsidR="00851F05" w:rsidRPr="00851F05">
              <w:rPr>
                <w:rFonts w:ascii="Times New Roman" w:hAnsi="Times New Roman" w:cs="Times New Roman"/>
              </w:rPr>
              <w:t>teiki</w:t>
            </w:r>
            <w:r>
              <w:rPr>
                <w:rFonts w:ascii="Times New Roman" w:hAnsi="Times New Roman" w:cs="Times New Roman"/>
              </w:rPr>
              <w:t>amos</w:t>
            </w:r>
            <w:r w:rsidR="00851F05" w:rsidRPr="00851F05">
              <w:rPr>
                <w:rFonts w:ascii="Times New Roman" w:hAnsi="Times New Roman" w:cs="Times New Roman"/>
              </w:rPr>
              <w:t xml:space="preserve"> dėl Lietuvos Respublikos Vyriausybės vertybinių popierių, kurių vienos emisijos dydis siekia bent 1 milijardą JAV dolerių, platinimo ir už kuriuos gaunamos lėšos turi strateginę reikšmę savalaikiam ir tinkamam valstybės viešųjų finansų valdymui, biudžeto išlaidų finansavimui ir valstybės skolos refinansavimui.  Atsižvelgiant į tai, Perkančioji organizacija Pirkimo sąlygose nustatydama reikalavimą pateikti pasiūlymo galiojimo užtikrinimą siekia suvaldyti rizikas, kad tiekėjas, pateikęs pasiūlymą viešajame pirkime, jo neatsiimtų, nepakeistų pasiūlymo galiojimo laikotarpiu.</w:t>
            </w:r>
          </w:p>
          <w:p w14:paraId="4EC0D60B" w14:textId="036C9947" w:rsidR="00934F6F" w:rsidRPr="00851F05" w:rsidRDefault="00851F05" w:rsidP="00934F6F">
            <w:pPr>
              <w:jc w:val="both"/>
              <w:rPr>
                <w:rFonts w:ascii="Times New Roman" w:hAnsi="Times New Roman" w:cs="Times New Roman"/>
              </w:rPr>
            </w:pPr>
            <w:r w:rsidRPr="00851F05">
              <w:rPr>
                <w:rFonts w:ascii="Times New Roman" w:hAnsi="Times New Roman" w:cs="Times New Roman"/>
              </w:rPr>
              <w:t>Pirkimas bus atliekamas atviro konkurso būdu, kurio minimalus pasiūlymų pateikimo terminas, vadovaujantis Lietuvos Respublikos viešųjų pirkimų įstatymo 60 straipsnio 4 dalimi, yra 30 dienų, yra pakankamas pasiūlymui parengti.</w:t>
            </w:r>
          </w:p>
          <w:p w14:paraId="61A29775" w14:textId="282DE666" w:rsidR="006B05C7" w:rsidRPr="00851F05" w:rsidRDefault="006B05C7" w:rsidP="00934F6F">
            <w:pPr>
              <w:jc w:val="both"/>
              <w:rPr>
                <w:rFonts w:ascii="Times New Roman" w:hAnsi="Times New Roman" w:cs="Times New Roman"/>
              </w:rPr>
            </w:pPr>
          </w:p>
        </w:tc>
      </w:tr>
    </w:tbl>
    <w:p w14:paraId="3AF4BECF" w14:textId="77777777" w:rsidR="00EB6C3B" w:rsidRPr="00934F6F" w:rsidRDefault="00EB6C3B">
      <w:pPr>
        <w:rPr>
          <w:rFonts w:ascii="Times New Roman" w:hAnsi="Times New Roman" w:cs="Times New Roman"/>
        </w:rPr>
      </w:pPr>
    </w:p>
    <w:sectPr w:rsidR="00EB6C3B" w:rsidRPr="00934F6F" w:rsidSect="00EB6C3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7DB51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8A4D1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C3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B2B07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7FC45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6A25D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04E7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73F9C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E6486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2B76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AE1AB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E382A4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8BC4B3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E7EEE8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4425141">
    <w:abstractNumId w:val="11"/>
  </w:num>
  <w:num w:numId="2" w16cid:durableId="15159016">
    <w:abstractNumId w:val="8"/>
  </w:num>
  <w:num w:numId="3" w16cid:durableId="324430621">
    <w:abstractNumId w:val="0"/>
  </w:num>
  <w:num w:numId="4" w16cid:durableId="383256617">
    <w:abstractNumId w:val="5"/>
  </w:num>
  <w:num w:numId="5" w16cid:durableId="1038434505">
    <w:abstractNumId w:val="13"/>
  </w:num>
  <w:num w:numId="6" w16cid:durableId="647710563">
    <w:abstractNumId w:val="4"/>
  </w:num>
  <w:num w:numId="7" w16cid:durableId="2000620963">
    <w:abstractNumId w:val="3"/>
  </w:num>
  <w:num w:numId="8" w16cid:durableId="1442457668">
    <w:abstractNumId w:val="9"/>
  </w:num>
  <w:num w:numId="9" w16cid:durableId="2037929201">
    <w:abstractNumId w:val="7"/>
  </w:num>
  <w:num w:numId="10" w16cid:durableId="1362391787">
    <w:abstractNumId w:val="2"/>
  </w:num>
  <w:num w:numId="11" w16cid:durableId="1631589390">
    <w:abstractNumId w:val="12"/>
  </w:num>
  <w:num w:numId="12" w16cid:durableId="447894359">
    <w:abstractNumId w:val="10"/>
  </w:num>
  <w:num w:numId="13" w16cid:durableId="1722554988">
    <w:abstractNumId w:val="6"/>
  </w:num>
  <w:num w:numId="14" w16cid:durableId="138124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3B"/>
    <w:rsid w:val="000B72CC"/>
    <w:rsid w:val="000E1BC0"/>
    <w:rsid w:val="00166E13"/>
    <w:rsid w:val="00297C1C"/>
    <w:rsid w:val="003C0023"/>
    <w:rsid w:val="003F7E94"/>
    <w:rsid w:val="00556DDA"/>
    <w:rsid w:val="0058064E"/>
    <w:rsid w:val="005F744E"/>
    <w:rsid w:val="00631D77"/>
    <w:rsid w:val="006B05C7"/>
    <w:rsid w:val="0073010F"/>
    <w:rsid w:val="00851F05"/>
    <w:rsid w:val="00934F6F"/>
    <w:rsid w:val="009C4661"/>
    <w:rsid w:val="009E26BA"/>
    <w:rsid w:val="00B92CF4"/>
    <w:rsid w:val="00CE6B8F"/>
    <w:rsid w:val="00CF7EE0"/>
    <w:rsid w:val="00D54D56"/>
    <w:rsid w:val="00DE2B34"/>
    <w:rsid w:val="00E47AC5"/>
    <w:rsid w:val="00E75200"/>
    <w:rsid w:val="00E771B4"/>
    <w:rsid w:val="00EB6C3B"/>
    <w:rsid w:val="00F56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51B8"/>
  <w15:chartTrackingRefBased/>
  <w15:docId w15:val="{3C20AE0E-C186-4D6F-9244-9887EFA1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6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6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6C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6C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6C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6C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6C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6C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6C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6C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6C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6C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6C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6C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6C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6C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6C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6C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6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6C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6C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6C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6C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6C3B"/>
    <w:rPr>
      <w:i/>
      <w:iCs/>
      <w:color w:val="404040" w:themeColor="text1" w:themeTint="BF"/>
    </w:rPr>
  </w:style>
  <w:style w:type="paragraph" w:styleId="Sraopastraipa">
    <w:name w:val="List Paragraph"/>
    <w:basedOn w:val="prastasis"/>
    <w:uiPriority w:val="34"/>
    <w:qFormat/>
    <w:rsid w:val="00EB6C3B"/>
    <w:pPr>
      <w:ind w:left="720"/>
      <w:contextualSpacing/>
    </w:pPr>
  </w:style>
  <w:style w:type="character" w:styleId="Rykuspabraukimas">
    <w:name w:val="Intense Emphasis"/>
    <w:basedOn w:val="Numatytasispastraiposriftas"/>
    <w:uiPriority w:val="21"/>
    <w:qFormat/>
    <w:rsid w:val="00EB6C3B"/>
    <w:rPr>
      <w:i/>
      <w:iCs/>
      <w:color w:val="0F4761" w:themeColor="accent1" w:themeShade="BF"/>
    </w:rPr>
  </w:style>
  <w:style w:type="paragraph" w:styleId="Iskirtacitata">
    <w:name w:val="Intense Quote"/>
    <w:basedOn w:val="prastasis"/>
    <w:next w:val="prastasis"/>
    <w:link w:val="IskirtacitataDiagrama"/>
    <w:uiPriority w:val="30"/>
    <w:qFormat/>
    <w:rsid w:val="00EB6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6C3B"/>
    <w:rPr>
      <w:i/>
      <w:iCs/>
      <w:color w:val="0F4761" w:themeColor="accent1" w:themeShade="BF"/>
    </w:rPr>
  </w:style>
  <w:style w:type="character" w:styleId="Rykinuoroda">
    <w:name w:val="Intense Reference"/>
    <w:basedOn w:val="Numatytasispastraiposriftas"/>
    <w:uiPriority w:val="32"/>
    <w:qFormat/>
    <w:rsid w:val="00EB6C3B"/>
    <w:rPr>
      <w:b/>
      <w:bCs/>
      <w:smallCaps/>
      <w:color w:val="0F4761" w:themeColor="accent1" w:themeShade="BF"/>
      <w:spacing w:val="5"/>
    </w:rPr>
  </w:style>
  <w:style w:type="table" w:styleId="Lentelstinklelis">
    <w:name w:val="Table Grid"/>
    <w:basedOn w:val="prastojilentel"/>
    <w:uiPriority w:val="39"/>
    <w:rsid w:val="00EB6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92CF4"/>
    <w:pPr>
      <w:spacing w:after="0" w:line="240" w:lineRule="auto"/>
    </w:pPr>
  </w:style>
  <w:style w:type="character" w:styleId="Komentaronuoroda">
    <w:name w:val="annotation reference"/>
    <w:basedOn w:val="Numatytasispastraiposriftas"/>
    <w:uiPriority w:val="99"/>
    <w:semiHidden/>
    <w:unhideWhenUsed/>
    <w:rsid w:val="009C4661"/>
    <w:rPr>
      <w:sz w:val="16"/>
      <w:szCs w:val="16"/>
    </w:rPr>
  </w:style>
  <w:style w:type="paragraph" w:styleId="Komentarotekstas">
    <w:name w:val="annotation text"/>
    <w:basedOn w:val="prastasis"/>
    <w:link w:val="KomentarotekstasDiagrama"/>
    <w:uiPriority w:val="99"/>
    <w:unhideWhenUsed/>
    <w:rsid w:val="009C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661"/>
    <w:rPr>
      <w:sz w:val="20"/>
      <w:szCs w:val="20"/>
    </w:rPr>
  </w:style>
  <w:style w:type="paragraph" w:styleId="Komentarotema">
    <w:name w:val="annotation subject"/>
    <w:basedOn w:val="Komentarotekstas"/>
    <w:next w:val="Komentarotekstas"/>
    <w:link w:val="KomentarotemaDiagrama"/>
    <w:uiPriority w:val="99"/>
    <w:semiHidden/>
    <w:unhideWhenUsed/>
    <w:rsid w:val="009C4661"/>
    <w:rPr>
      <w:b/>
      <w:bCs/>
    </w:rPr>
  </w:style>
  <w:style w:type="character" w:customStyle="1" w:styleId="KomentarotemaDiagrama">
    <w:name w:val="Komentaro tema Diagrama"/>
    <w:basedOn w:val="KomentarotekstasDiagrama"/>
    <w:link w:val="Komentarotema"/>
    <w:uiPriority w:val="99"/>
    <w:semiHidden/>
    <w:rsid w:val="009C46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4894</Words>
  <Characters>2791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Stankevičienė</dc:creator>
  <cp:keywords/>
  <dc:description/>
  <cp:lastModifiedBy>Edita Stankevičienė</cp:lastModifiedBy>
  <cp:revision>2</cp:revision>
  <dcterms:created xsi:type="dcterms:W3CDTF">2025-10-24T10:49:00Z</dcterms:created>
  <dcterms:modified xsi:type="dcterms:W3CDTF">2025-10-24T10:49:00Z</dcterms:modified>
</cp:coreProperties>
</file>