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268AB0CB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C22B64" w:rsidRPr="00C22B64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</w:t>
      </w:r>
      <w:proofErr w:type="spellStart"/>
      <w:r w:rsidR="00C22B64" w:rsidRPr="00C22B64">
        <w:rPr>
          <w:rFonts w:ascii="Times New Roman" w:hAnsi="Times New Roman" w:cs="Times New Roman"/>
          <w:b/>
          <w:color w:val="000000"/>
          <w:sz w:val="20"/>
        </w:rPr>
        <w:t>MxA</w:t>
      </w:r>
      <w:proofErr w:type="spellEnd"/>
      <w:r w:rsidR="00C22B64" w:rsidRPr="00C22B64">
        <w:rPr>
          <w:rFonts w:ascii="Times New Roman" w:hAnsi="Times New Roman" w:cs="Times New Roman"/>
          <w:b/>
          <w:color w:val="000000"/>
          <w:sz w:val="20"/>
        </w:rPr>
        <w:t>/CRB kraujo tyrimų atlikimui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22B64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44770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32</cp:revision>
  <cp:lastPrinted>2025-03-04T09:56:00Z</cp:lastPrinted>
  <dcterms:created xsi:type="dcterms:W3CDTF">2022-09-20T05:12:00Z</dcterms:created>
  <dcterms:modified xsi:type="dcterms:W3CDTF">2025-10-27T07:20:00Z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