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1DEA" w14:textId="77777777" w:rsidR="00A8398D" w:rsidRPr="002F6F1E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2F6F1E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26951390" w:rsidR="00D40468" w:rsidRPr="002F6F1E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</w:pPr>
      <w:r w:rsidRPr="002F6F1E">
        <w:rPr>
          <w:rFonts w:ascii="Arial" w:hAnsi="Arial" w:cs="Arial"/>
          <w:b/>
          <w:bCs/>
          <w:color w:val="000000" w:themeColor="text1"/>
          <w:sz w:val="20"/>
          <w:szCs w:val="20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sz w:val="20"/>
            <w:szCs w:val="20"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F57C6A" w:rsidRPr="002F6F1E">
            <w:rPr>
              <w:rFonts w:ascii="Arial" w:hAnsi="Arial" w:cs="Arial"/>
              <w:b/>
              <w:bCs/>
              <w:sz w:val="20"/>
              <w:szCs w:val="20"/>
              <w:lang w:val="lt-LT"/>
            </w:rPr>
            <w:t>ATSAKYMŲ Į TIEKĖJŲ KLAUSIMUS</w:t>
          </w:r>
        </w:sdtContent>
      </w:sdt>
    </w:p>
    <w:p w14:paraId="2CE7E1DC" w14:textId="4356F8ED" w:rsidR="00D40468" w:rsidRPr="002F6F1E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74B36286" w:rsidR="00AD4D4D" w:rsidRPr="002F6F1E" w:rsidRDefault="00AD4D4D" w:rsidP="00DE49B1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2F6F1E">
        <w:rPr>
          <w:rFonts w:ascii="Arial" w:hAnsi="Arial" w:cs="Arial"/>
          <w:color w:val="000000" w:themeColor="text1"/>
          <w:sz w:val="20"/>
          <w:szCs w:val="20"/>
          <w:lang w:val="lt-LT"/>
        </w:rPr>
        <w:t>Siunčiame</w:t>
      </w:r>
      <w:r w:rsidR="00EF629E" w:rsidRPr="002F6F1E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F57C6A" w:rsidRPr="002F6F1E">
            <w:rPr>
              <w:rFonts w:ascii="Arial" w:hAnsi="Arial" w:cs="Arial"/>
              <w:sz w:val="20"/>
              <w:szCs w:val="20"/>
              <w:lang w:val="lt-LT"/>
            </w:rPr>
            <w:t>atsakymus į tiekėjų klausimus</w:t>
          </w:r>
        </w:sdtContent>
      </w:sdt>
      <w:r w:rsidR="00896A4E" w:rsidRPr="002F6F1E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proofErr w:type="spellStart"/>
      <w:r w:rsidR="003C4D05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pirkime</w:t>
      </w:r>
      <w:proofErr w:type="spellEnd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: (2025-VKJ-269) </w:t>
      </w:r>
      <w:proofErr w:type="spellStart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Fotovoltinės</w:t>
      </w:r>
      <w:proofErr w:type="spellEnd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saulės</w:t>
      </w:r>
      <w:proofErr w:type="spellEnd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elektrinės</w:t>
      </w:r>
      <w:proofErr w:type="spellEnd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projektavimo</w:t>
      </w:r>
      <w:proofErr w:type="spellEnd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ir</w:t>
      </w:r>
      <w:proofErr w:type="spellEnd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įrengimo</w:t>
      </w:r>
      <w:proofErr w:type="spellEnd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darbai</w:t>
      </w:r>
      <w:proofErr w:type="spellEnd"/>
      <w:r w:rsidR="00957A4D" w:rsidRPr="002F6F1E"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.</w:t>
      </w:r>
    </w:p>
    <w:p w14:paraId="11731F77" w14:textId="1148DAEB" w:rsidR="00AD4D4D" w:rsidRPr="002F6F1E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0"/>
          <w:szCs w:val="20"/>
          <w:lang w:val="lt-LT"/>
        </w:rPr>
      </w:pPr>
      <w:bookmarkStart w:id="0" w:name="_Hlk25240925"/>
      <w:r w:rsidRPr="002F6F1E">
        <w:rPr>
          <w:rFonts w:ascii="Arial" w:hAnsi="Arial" w:cs="Arial"/>
          <w:sz w:val="20"/>
          <w:szCs w:val="20"/>
          <w:lang w:val="lt-LT"/>
        </w:rPr>
        <w:t xml:space="preserve">Siekdami išvengti turinio interpretacijų, tiekėjų klausimus cituojame tiksliai taip, kaip buvo pateikti </w:t>
      </w:r>
      <w:r w:rsidR="008579D8" w:rsidRPr="002F6F1E">
        <w:rPr>
          <w:rFonts w:ascii="Arial" w:hAnsi="Arial" w:cs="Arial"/>
          <w:sz w:val="20"/>
          <w:szCs w:val="20"/>
          <w:lang w:val="lt-LT"/>
        </w:rPr>
        <w:t xml:space="preserve">Centrinės viešųjų pirkimų informacinės sistemos (toliau – </w:t>
      </w:r>
      <w:r w:rsidRPr="002F6F1E">
        <w:rPr>
          <w:rFonts w:ascii="Arial" w:hAnsi="Arial" w:cs="Arial"/>
          <w:sz w:val="20"/>
          <w:szCs w:val="20"/>
          <w:lang w:val="lt-LT"/>
        </w:rPr>
        <w:t>CVP IS</w:t>
      </w:r>
      <w:r w:rsidR="008579D8" w:rsidRPr="002F6F1E">
        <w:rPr>
          <w:rFonts w:ascii="Arial" w:hAnsi="Arial" w:cs="Arial"/>
          <w:sz w:val="20"/>
          <w:szCs w:val="20"/>
          <w:lang w:val="lt-LT"/>
        </w:rPr>
        <w:t>)</w:t>
      </w:r>
      <w:r w:rsidRPr="002F6F1E">
        <w:rPr>
          <w:rFonts w:ascii="Arial" w:hAnsi="Arial" w:cs="Arial"/>
          <w:sz w:val="20"/>
          <w:szCs w:val="20"/>
          <w:lang w:val="lt-LT"/>
        </w:rPr>
        <w:t xml:space="preserve"> priemonėmis (tekstas neredaguotas).</w:t>
      </w:r>
      <w:bookmarkEnd w:id="0"/>
    </w:p>
    <w:p w14:paraId="19B06EA3" w14:textId="6E286FE8" w:rsidR="00BD6B85" w:rsidRPr="002F6F1E" w:rsidRDefault="00BD6B85" w:rsidP="00F57C6A">
      <w:pPr>
        <w:tabs>
          <w:tab w:val="left" w:pos="851"/>
        </w:tabs>
        <w:ind w:firstLine="567"/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6A12FB20" w14:textId="13D88EAF" w:rsidR="009251DC" w:rsidRPr="002F6F1E" w:rsidRDefault="00F57C6A" w:rsidP="00FA73E9">
      <w:pPr>
        <w:pStyle w:val="ListParagraph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</w:pPr>
      <w:r w:rsidRPr="002F6F1E"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  <w:t>Klausimas:</w:t>
      </w:r>
    </w:p>
    <w:p w14:paraId="1354CA45" w14:textId="1D9B7BD3" w:rsidR="00FA73E9" w:rsidRPr="002F6F1E" w:rsidRDefault="00957A4D" w:rsidP="00FA73E9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  <w:proofErr w:type="spellStart"/>
      <w:r w:rsidRPr="002F6F1E">
        <w:rPr>
          <w:rFonts w:ascii="Arial" w:eastAsiaTheme="minorHAnsi" w:hAnsi="Arial" w:cs="Arial"/>
          <w:sz w:val="20"/>
          <w:szCs w:val="20"/>
          <w:lang w:eastAsia="lt-LT"/>
        </w:rPr>
        <w:t>Kodėl</w:t>
      </w:r>
      <w:proofErr w:type="spellEnd"/>
      <w:r w:rsidRPr="002F6F1E">
        <w:rPr>
          <w:rFonts w:ascii="Arial" w:eastAsiaTheme="minorHAnsi" w:hAnsi="Arial" w:cs="Arial"/>
          <w:sz w:val="20"/>
          <w:szCs w:val="20"/>
          <w:lang w:eastAsia="lt-LT"/>
        </w:rPr>
        <w:t xml:space="preserve"> </w:t>
      </w:r>
      <w:proofErr w:type="spellStart"/>
      <w:r w:rsidRPr="002F6F1E">
        <w:rPr>
          <w:rFonts w:ascii="Arial" w:eastAsiaTheme="minorHAnsi" w:hAnsi="Arial" w:cs="Arial"/>
          <w:sz w:val="20"/>
          <w:szCs w:val="20"/>
          <w:lang w:eastAsia="lt-LT"/>
        </w:rPr>
        <w:t>toks</w:t>
      </w:r>
      <w:proofErr w:type="spellEnd"/>
      <w:r w:rsidRPr="002F6F1E">
        <w:rPr>
          <w:rFonts w:ascii="Arial" w:eastAsiaTheme="minorHAnsi" w:hAnsi="Arial" w:cs="Arial"/>
          <w:sz w:val="20"/>
          <w:szCs w:val="20"/>
          <w:lang w:eastAsia="lt-LT"/>
        </w:rPr>
        <w:t xml:space="preserve"> </w:t>
      </w:r>
      <w:proofErr w:type="spellStart"/>
      <w:r w:rsidRPr="002F6F1E">
        <w:rPr>
          <w:rFonts w:ascii="Arial" w:eastAsiaTheme="minorHAnsi" w:hAnsi="Arial" w:cs="Arial"/>
          <w:sz w:val="20"/>
          <w:szCs w:val="20"/>
          <w:lang w:eastAsia="lt-LT"/>
        </w:rPr>
        <w:t>ilgas</w:t>
      </w:r>
      <w:proofErr w:type="spellEnd"/>
      <w:r w:rsidRPr="002F6F1E">
        <w:rPr>
          <w:rFonts w:ascii="Arial" w:eastAsiaTheme="minorHAnsi" w:hAnsi="Arial" w:cs="Arial"/>
          <w:sz w:val="20"/>
          <w:szCs w:val="20"/>
          <w:lang w:eastAsia="lt-LT"/>
        </w:rPr>
        <w:t xml:space="preserve"> </w:t>
      </w:r>
      <w:proofErr w:type="spellStart"/>
      <w:r w:rsidRPr="002F6F1E">
        <w:rPr>
          <w:rFonts w:ascii="Arial" w:eastAsiaTheme="minorHAnsi" w:hAnsi="Arial" w:cs="Arial"/>
          <w:sz w:val="20"/>
          <w:szCs w:val="20"/>
          <w:lang w:eastAsia="lt-LT"/>
        </w:rPr>
        <w:t>sutarties</w:t>
      </w:r>
      <w:proofErr w:type="spellEnd"/>
      <w:r w:rsidRPr="002F6F1E">
        <w:rPr>
          <w:rFonts w:ascii="Arial" w:eastAsiaTheme="minorHAnsi" w:hAnsi="Arial" w:cs="Arial"/>
          <w:sz w:val="20"/>
          <w:szCs w:val="20"/>
          <w:lang w:eastAsia="lt-LT"/>
        </w:rPr>
        <w:t xml:space="preserve"> </w:t>
      </w:r>
      <w:proofErr w:type="spellStart"/>
      <w:r w:rsidRPr="002F6F1E">
        <w:rPr>
          <w:rFonts w:ascii="Arial" w:eastAsiaTheme="minorHAnsi" w:hAnsi="Arial" w:cs="Arial"/>
          <w:sz w:val="20"/>
          <w:szCs w:val="20"/>
          <w:lang w:eastAsia="lt-LT"/>
        </w:rPr>
        <w:t>įgyvendinimo</w:t>
      </w:r>
      <w:proofErr w:type="spellEnd"/>
      <w:r w:rsidRPr="002F6F1E">
        <w:rPr>
          <w:rFonts w:ascii="Arial" w:eastAsiaTheme="minorHAnsi" w:hAnsi="Arial" w:cs="Arial"/>
          <w:sz w:val="20"/>
          <w:szCs w:val="20"/>
          <w:lang w:eastAsia="lt-LT"/>
        </w:rPr>
        <w:t xml:space="preserve"> </w:t>
      </w:r>
      <w:proofErr w:type="spellStart"/>
      <w:r w:rsidRPr="002F6F1E">
        <w:rPr>
          <w:rFonts w:ascii="Arial" w:eastAsiaTheme="minorHAnsi" w:hAnsi="Arial" w:cs="Arial"/>
          <w:sz w:val="20"/>
          <w:szCs w:val="20"/>
          <w:lang w:eastAsia="lt-LT"/>
        </w:rPr>
        <w:t>terminas</w:t>
      </w:r>
      <w:proofErr w:type="spellEnd"/>
      <w:r w:rsidRPr="002F6F1E">
        <w:rPr>
          <w:rFonts w:ascii="Arial" w:eastAsiaTheme="minorHAnsi" w:hAnsi="Arial" w:cs="Arial"/>
          <w:sz w:val="20"/>
          <w:szCs w:val="20"/>
          <w:lang w:eastAsia="lt-LT"/>
        </w:rPr>
        <w:t>?</w:t>
      </w:r>
    </w:p>
    <w:p w14:paraId="145D860E" w14:textId="77777777" w:rsidR="00957A4D" w:rsidRPr="002F6F1E" w:rsidRDefault="00957A4D" w:rsidP="00FA73E9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0"/>
          <w:szCs w:val="20"/>
          <w:lang w:eastAsia="lt-LT"/>
        </w:rPr>
      </w:pPr>
    </w:p>
    <w:p w14:paraId="4EAA532C" w14:textId="509644DB" w:rsidR="00F57C6A" w:rsidRPr="002F6F1E" w:rsidRDefault="00F57C6A" w:rsidP="00F57C6A">
      <w:pPr>
        <w:pStyle w:val="ListParagraph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</w:pPr>
      <w:r w:rsidRPr="002F6F1E">
        <w:rPr>
          <w:rFonts w:ascii="Arial" w:eastAsiaTheme="minorHAnsi" w:hAnsi="Arial" w:cs="Arial"/>
          <w:b/>
          <w:bCs/>
          <w:sz w:val="20"/>
          <w:szCs w:val="20"/>
          <w:u w:val="single"/>
          <w:lang w:eastAsia="lt-LT"/>
        </w:rPr>
        <w:t>Atsakymas:</w:t>
      </w:r>
    </w:p>
    <w:p w14:paraId="6D5A78C5" w14:textId="0D98ADEB" w:rsidR="00980FE5" w:rsidRPr="002F6F1E" w:rsidRDefault="002F6F1E" w:rsidP="00DE49B1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2F6F1E">
        <w:rPr>
          <w:rFonts w:ascii="Arial" w:hAnsi="Arial" w:cs="Arial"/>
          <w:sz w:val="20"/>
          <w:szCs w:val="20"/>
          <w:lang w:val="lt-LT"/>
        </w:rPr>
        <w:t>Darbų atlikimo terminas nurodytas Techninės specifikacijos 6.2. punkte:</w:t>
      </w:r>
    </w:p>
    <w:p w14:paraId="34F92CDC" w14:textId="77777777" w:rsidR="002F6F1E" w:rsidRPr="002F6F1E" w:rsidRDefault="002F6F1E" w:rsidP="00DE49B1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772"/>
        <w:gridCol w:w="4331"/>
        <w:gridCol w:w="3969"/>
      </w:tblGrid>
      <w:tr w:rsidR="002F6F1E" w:rsidRPr="002F6F1E" w14:paraId="071B6E76" w14:textId="77777777" w:rsidTr="002F6F1E">
        <w:tc>
          <w:tcPr>
            <w:tcW w:w="772" w:type="dxa"/>
            <w:shd w:val="clear" w:color="auto" w:fill="F2F2F2" w:themeFill="background1" w:themeFillShade="F2"/>
            <w:vAlign w:val="center"/>
          </w:tcPr>
          <w:p w14:paraId="5506394D" w14:textId="77777777" w:rsidR="002F6F1E" w:rsidRPr="002F6F1E" w:rsidRDefault="002F6F1E" w:rsidP="003E7EFB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F1E">
              <w:rPr>
                <w:rFonts w:ascii="Arial" w:hAnsi="Arial" w:cs="Arial"/>
                <w:b/>
                <w:sz w:val="20"/>
                <w:szCs w:val="20"/>
              </w:rPr>
              <w:t>Etapo  Nr.</w:t>
            </w:r>
          </w:p>
        </w:tc>
        <w:tc>
          <w:tcPr>
            <w:tcW w:w="433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1149D" w14:textId="77777777" w:rsidR="002F6F1E" w:rsidRPr="002F6F1E" w:rsidRDefault="002F6F1E" w:rsidP="003E7EFB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F1E">
              <w:rPr>
                <w:rFonts w:ascii="Arial" w:hAnsi="Arial" w:cs="Arial"/>
                <w:b/>
                <w:sz w:val="20"/>
                <w:szCs w:val="20"/>
              </w:rPr>
              <w:t>Etapo pavadinimas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0BC79" w14:textId="11F8BE4D" w:rsidR="002F6F1E" w:rsidRPr="002F6F1E" w:rsidRDefault="002F6F1E" w:rsidP="003E7EFB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F1E">
              <w:rPr>
                <w:rFonts w:ascii="Arial" w:hAnsi="Arial" w:cs="Arial"/>
                <w:b/>
                <w:bCs/>
                <w:sz w:val="20"/>
                <w:szCs w:val="20"/>
              </w:rPr>
              <w:t>Terminas, kalendorinėmis dienomis</w:t>
            </w:r>
          </w:p>
        </w:tc>
      </w:tr>
      <w:tr w:rsidR="002F6F1E" w:rsidRPr="002F6F1E" w14:paraId="467B6AD9" w14:textId="77777777" w:rsidTr="002F6F1E">
        <w:tc>
          <w:tcPr>
            <w:tcW w:w="772" w:type="dxa"/>
          </w:tcPr>
          <w:p w14:paraId="42696C20" w14:textId="77777777" w:rsidR="002F6F1E" w:rsidRPr="002F6F1E" w:rsidRDefault="002F6F1E" w:rsidP="003E7EFB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F1E">
              <w:rPr>
                <w:rFonts w:ascii="Arial" w:hAnsi="Arial" w:cs="Arial"/>
                <w:sz w:val="20"/>
                <w:szCs w:val="20"/>
              </w:rPr>
              <w:t>E-1</w:t>
            </w:r>
          </w:p>
        </w:tc>
        <w:tc>
          <w:tcPr>
            <w:tcW w:w="4331" w:type="dxa"/>
            <w:tcBorders>
              <w:right w:val="single" w:sz="4" w:space="0" w:color="auto"/>
            </w:tcBorders>
          </w:tcPr>
          <w:p w14:paraId="6165D77F" w14:textId="77777777" w:rsidR="002F6F1E" w:rsidRPr="002F6F1E" w:rsidRDefault="002F6F1E" w:rsidP="003E7EFB">
            <w:pPr>
              <w:pStyle w:val="ListParagraph"/>
              <w:tabs>
                <w:tab w:val="left" w:pos="54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1E">
              <w:rPr>
                <w:rFonts w:ascii="Arial" w:hAnsi="Arial" w:cs="Arial"/>
                <w:sz w:val="20"/>
                <w:szCs w:val="20"/>
              </w:rPr>
              <w:t>SE projekto parengimas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B09151B" w14:textId="77777777" w:rsidR="002F6F1E" w:rsidRPr="002F6F1E" w:rsidRDefault="002F6F1E" w:rsidP="003E7EFB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6F1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2F6F1E" w:rsidRPr="002F6F1E" w14:paraId="7B01E852" w14:textId="77777777" w:rsidTr="002F6F1E">
        <w:tc>
          <w:tcPr>
            <w:tcW w:w="772" w:type="dxa"/>
          </w:tcPr>
          <w:p w14:paraId="07BEEFF6" w14:textId="77777777" w:rsidR="002F6F1E" w:rsidRPr="002F6F1E" w:rsidRDefault="002F6F1E" w:rsidP="003E7EFB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F1E">
              <w:rPr>
                <w:rFonts w:ascii="Arial" w:hAnsi="Arial" w:cs="Arial"/>
                <w:sz w:val="20"/>
                <w:szCs w:val="20"/>
              </w:rPr>
              <w:t>E-2</w:t>
            </w:r>
          </w:p>
        </w:tc>
        <w:tc>
          <w:tcPr>
            <w:tcW w:w="4331" w:type="dxa"/>
            <w:tcBorders>
              <w:right w:val="single" w:sz="4" w:space="0" w:color="auto"/>
            </w:tcBorders>
          </w:tcPr>
          <w:p w14:paraId="43085DC6" w14:textId="77777777" w:rsidR="002F6F1E" w:rsidRPr="002F6F1E" w:rsidRDefault="002F6F1E" w:rsidP="003E7EFB">
            <w:pPr>
              <w:pStyle w:val="ListParagraph"/>
              <w:tabs>
                <w:tab w:val="left" w:pos="540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F1E">
              <w:rPr>
                <w:rFonts w:ascii="Arial" w:hAnsi="Arial" w:cs="Arial"/>
                <w:sz w:val="20"/>
                <w:szCs w:val="20"/>
              </w:rPr>
              <w:t xml:space="preserve">SE įrangos tiekimas, montavimas, paleidimo-derinimo darbai. 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302519E" w14:textId="77777777" w:rsidR="002F6F1E" w:rsidRPr="002F6F1E" w:rsidRDefault="002F6F1E" w:rsidP="003E7EFB">
            <w:pPr>
              <w:pStyle w:val="ListParagraph"/>
              <w:tabs>
                <w:tab w:val="left" w:pos="54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6F1E">
              <w:rPr>
                <w:rFonts w:ascii="Arial" w:hAnsi="Arial" w:cs="Arial"/>
                <w:sz w:val="20"/>
                <w:szCs w:val="20"/>
              </w:rPr>
              <w:t>Rangovo pasiūlyme nurodytas terminas, kuris negali būti ilgesnis kaip 90</w:t>
            </w:r>
          </w:p>
        </w:tc>
      </w:tr>
    </w:tbl>
    <w:p w14:paraId="51D88C52" w14:textId="5FB0C86C" w:rsidR="00AD4D4D" w:rsidRPr="002F6F1E" w:rsidRDefault="00AD4D4D" w:rsidP="00AF16D3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09F15026" w14:textId="77777777" w:rsidR="002F6F1E" w:rsidRPr="002F6F1E" w:rsidRDefault="002F6F1E" w:rsidP="00AF16D3">
      <w:pPr>
        <w:tabs>
          <w:tab w:val="left" w:pos="709"/>
        </w:tabs>
        <w:ind w:firstLine="567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2F6F1E">
        <w:rPr>
          <w:rFonts w:ascii="Arial" w:eastAsia="Arial" w:hAnsi="Arial" w:cs="Arial"/>
          <w:sz w:val="20"/>
          <w:szCs w:val="20"/>
        </w:rPr>
        <w:t>Maksimalus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Sutarties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galiojimo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terminas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yra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38 (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trisdešimt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aštuoni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mėnesiai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>, t. y. 36 (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trisdešimt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šeši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mėnesiai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Darbų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tiekimo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laikotarpis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ir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2 (du)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mėnesiai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galutiniam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atsiskaitymui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tarp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Šalių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už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tinkamai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atliktus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Darbus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ir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pritaikytas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sankcijas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. </w:t>
      </w:r>
    </w:p>
    <w:p w14:paraId="3D1AD7F2" w14:textId="2A070FAC" w:rsidR="002F6F1E" w:rsidRPr="002F6F1E" w:rsidRDefault="002F6F1E" w:rsidP="00AF16D3">
      <w:pPr>
        <w:tabs>
          <w:tab w:val="left" w:pos="709"/>
        </w:tabs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2F6F1E">
        <w:rPr>
          <w:rFonts w:ascii="Arial" w:eastAsia="Arial" w:hAnsi="Arial" w:cs="Arial"/>
          <w:sz w:val="20"/>
          <w:szCs w:val="20"/>
        </w:rPr>
        <w:t xml:space="preserve">Papildomai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pažymime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, jog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Sutarties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SD 8.3.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punkte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yra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eastAsia="Arial" w:hAnsi="Arial" w:cs="Arial"/>
          <w:sz w:val="20"/>
          <w:szCs w:val="20"/>
        </w:rPr>
        <w:t>numatyta</w:t>
      </w:r>
      <w:proofErr w:type="spellEnd"/>
      <w:r w:rsidRPr="002F6F1E">
        <w:rPr>
          <w:rFonts w:ascii="Arial" w:eastAsia="Arial" w:hAnsi="Arial" w:cs="Arial"/>
          <w:sz w:val="20"/>
          <w:szCs w:val="20"/>
        </w:rPr>
        <w:t>:</w:t>
      </w:r>
    </w:p>
    <w:p w14:paraId="42FD9910" w14:textId="48DE680E" w:rsidR="002F6F1E" w:rsidRPr="002F6F1E" w:rsidRDefault="002F6F1E" w:rsidP="00AF16D3">
      <w:pPr>
        <w:tabs>
          <w:tab w:val="left" w:pos="709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F6F1E">
        <w:rPr>
          <w:rFonts w:ascii="Arial" w:hAnsi="Arial" w:cs="Arial"/>
          <w:sz w:val="20"/>
          <w:szCs w:val="20"/>
        </w:rPr>
        <w:t>“</w:t>
      </w:r>
      <w:proofErr w:type="spellStart"/>
      <w:r w:rsidRPr="002F6F1E">
        <w:rPr>
          <w:rFonts w:ascii="Arial" w:hAnsi="Arial" w:cs="Arial"/>
          <w:sz w:val="20"/>
          <w:szCs w:val="20"/>
        </w:rPr>
        <w:t>Rangovas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privalo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pateikti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Užsakovui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10 % </w:t>
      </w:r>
      <w:proofErr w:type="spellStart"/>
      <w:r w:rsidRPr="002F6F1E">
        <w:rPr>
          <w:rFonts w:ascii="Arial" w:hAnsi="Arial" w:cs="Arial"/>
          <w:sz w:val="20"/>
          <w:szCs w:val="20"/>
        </w:rPr>
        <w:t>Sutarties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vertės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F6F1E">
        <w:rPr>
          <w:rFonts w:ascii="Arial" w:hAnsi="Arial" w:cs="Arial"/>
          <w:sz w:val="20"/>
          <w:szCs w:val="20"/>
        </w:rPr>
        <w:t>nurodytos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Sutarties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SD 2.3.1. </w:t>
      </w:r>
      <w:proofErr w:type="spellStart"/>
      <w:r w:rsidRPr="002F6F1E">
        <w:rPr>
          <w:rFonts w:ascii="Arial" w:hAnsi="Arial" w:cs="Arial"/>
          <w:sz w:val="20"/>
          <w:szCs w:val="20"/>
        </w:rPr>
        <w:t>punkte</w:t>
      </w:r>
      <w:proofErr w:type="spellEnd"/>
      <w:r w:rsidRPr="002F6F1E">
        <w:rPr>
          <w:rFonts w:ascii="Arial" w:hAnsi="Arial" w:cs="Arial"/>
          <w:sz w:val="20"/>
          <w:szCs w:val="20"/>
        </w:rPr>
        <w:t>, 24 (</w:t>
      </w:r>
      <w:proofErr w:type="spellStart"/>
      <w:r w:rsidRPr="002F6F1E">
        <w:rPr>
          <w:rFonts w:ascii="Arial" w:hAnsi="Arial" w:cs="Arial"/>
          <w:sz w:val="20"/>
          <w:szCs w:val="20"/>
        </w:rPr>
        <w:t>dvidešimt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keturių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2F6F1E">
        <w:rPr>
          <w:rFonts w:ascii="Arial" w:hAnsi="Arial" w:cs="Arial"/>
          <w:sz w:val="20"/>
          <w:szCs w:val="20"/>
        </w:rPr>
        <w:t>mėnesių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laikotarpiui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nuo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bCs/>
          <w:sz w:val="20"/>
          <w:szCs w:val="20"/>
        </w:rPr>
        <w:t>Galutinio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perdavimo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2F6F1E">
        <w:rPr>
          <w:rFonts w:ascii="Arial" w:hAnsi="Arial" w:cs="Arial"/>
          <w:sz w:val="20"/>
          <w:szCs w:val="20"/>
        </w:rPr>
        <w:t>priėmimo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akto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pasirašymo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dienos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F6F1E">
        <w:rPr>
          <w:rFonts w:ascii="Arial" w:hAnsi="Arial" w:cs="Arial"/>
          <w:sz w:val="20"/>
          <w:szCs w:val="20"/>
        </w:rPr>
        <w:t>banko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garantiją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arba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draudimo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bendrovės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laidavimo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raštą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F6F1E">
        <w:rPr>
          <w:rFonts w:ascii="Arial" w:hAnsi="Arial" w:cs="Arial"/>
          <w:sz w:val="20"/>
          <w:szCs w:val="20"/>
        </w:rPr>
        <w:t>kuri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(-is) </w:t>
      </w:r>
      <w:proofErr w:type="spellStart"/>
      <w:r w:rsidRPr="002F6F1E">
        <w:rPr>
          <w:rFonts w:ascii="Arial" w:hAnsi="Arial" w:cs="Arial"/>
          <w:sz w:val="20"/>
          <w:szCs w:val="20"/>
        </w:rPr>
        <w:t>garantuoja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E-1 </w:t>
      </w:r>
      <w:proofErr w:type="spellStart"/>
      <w:r w:rsidRPr="002F6F1E">
        <w:rPr>
          <w:rFonts w:ascii="Arial" w:hAnsi="Arial" w:cs="Arial"/>
          <w:sz w:val="20"/>
          <w:szCs w:val="20"/>
        </w:rPr>
        <w:t>etapu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su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Užsakovu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suderintą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elektros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energijos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generacijos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prognozę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F6F1E">
        <w:rPr>
          <w:rFonts w:ascii="Arial" w:hAnsi="Arial" w:cs="Arial"/>
          <w:sz w:val="20"/>
          <w:szCs w:val="20"/>
        </w:rPr>
        <w:t>Jeigu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reali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metinė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elektros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energijos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generacija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bus 7 % </w:t>
      </w:r>
      <w:proofErr w:type="spellStart"/>
      <w:r w:rsidRPr="002F6F1E">
        <w:rPr>
          <w:rFonts w:ascii="Arial" w:hAnsi="Arial" w:cs="Arial"/>
          <w:sz w:val="20"/>
          <w:szCs w:val="20"/>
        </w:rPr>
        <w:t>ar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daugiau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mažesnė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už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suderintą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prognozę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F6F1E">
        <w:rPr>
          <w:rFonts w:ascii="Arial" w:hAnsi="Arial" w:cs="Arial"/>
          <w:sz w:val="20"/>
          <w:szCs w:val="20"/>
        </w:rPr>
        <w:t>Užsakovas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turi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teisę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pasinaudoti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banko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garantija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ar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draudimo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bendrovės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laidavimo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raštu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F6F1E">
        <w:rPr>
          <w:rFonts w:ascii="Arial" w:hAnsi="Arial" w:cs="Arial"/>
          <w:sz w:val="20"/>
          <w:szCs w:val="20"/>
        </w:rPr>
        <w:t>Jeigu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Rangovas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įrodo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, jog </w:t>
      </w:r>
      <w:proofErr w:type="spellStart"/>
      <w:r w:rsidRPr="002F6F1E">
        <w:rPr>
          <w:rFonts w:ascii="Arial" w:hAnsi="Arial" w:cs="Arial"/>
          <w:sz w:val="20"/>
          <w:szCs w:val="20"/>
        </w:rPr>
        <w:t>generaciją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įtakojantys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veiksniai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yra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objektyvūs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ir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nuo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jo </w:t>
      </w:r>
      <w:proofErr w:type="spellStart"/>
      <w:r w:rsidRPr="002F6F1E">
        <w:rPr>
          <w:rFonts w:ascii="Arial" w:hAnsi="Arial" w:cs="Arial"/>
          <w:sz w:val="20"/>
          <w:szCs w:val="20"/>
        </w:rPr>
        <w:t>nepriklauso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bei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tų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veiksnių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numatyti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prognozės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sudarymo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metu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nebuvo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galimybių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F6F1E">
        <w:rPr>
          <w:rFonts w:ascii="Arial" w:hAnsi="Arial" w:cs="Arial"/>
          <w:sz w:val="20"/>
          <w:szCs w:val="20"/>
        </w:rPr>
        <w:t>Užsakovas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įvertinęs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argumentuotas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raštu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pateiktas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aplinkybes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gali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atleisti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Rangovą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nuo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atsakomybės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už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įsipareigojimų</w:t>
      </w:r>
      <w:proofErr w:type="spellEnd"/>
      <w:r w:rsidRPr="002F6F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F6F1E">
        <w:rPr>
          <w:rFonts w:ascii="Arial" w:hAnsi="Arial" w:cs="Arial"/>
          <w:sz w:val="20"/>
          <w:szCs w:val="20"/>
        </w:rPr>
        <w:t>neįvykdymą</w:t>
      </w:r>
      <w:proofErr w:type="spellEnd"/>
      <w:r w:rsidRPr="002F6F1E">
        <w:rPr>
          <w:rFonts w:ascii="Arial" w:hAnsi="Arial" w:cs="Arial"/>
          <w:sz w:val="20"/>
          <w:szCs w:val="20"/>
        </w:rPr>
        <w:t>.”</w:t>
      </w:r>
    </w:p>
    <w:p w14:paraId="4A083813" w14:textId="489F2F60" w:rsidR="002F6F1E" w:rsidRPr="002F6F1E" w:rsidRDefault="002F6F1E" w:rsidP="00AF16D3">
      <w:pPr>
        <w:pStyle w:val="Tekstas"/>
        <w:tabs>
          <w:tab w:val="clear" w:pos="6804"/>
          <w:tab w:val="left" w:pos="709"/>
        </w:tabs>
        <w:ind w:firstLine="567"/>
        <w:jc w:val="both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 xml:space="preserve">Pažymime, jog </w:t>
      </w:r>
      <w:r w:rsidR="008757AF">
        <w:rPr>
          <w:rFonts w:ascii="Arial" w:hAnsi="Arial" w:cs="Arial"/>
          <w:sz w:val="20"/>
          <w:lang w:val="lt-LT"/>
        </w:rPr>
        <w:t>s</w:t>
      </w:r>
      <w:r w:rsidR="008757AF" w:rsidRPr="002F6F1E">
        <w:rPr>
          <w:rFonts w:ascii="Arial" w:hAnsi="Arial" w:cs="Arial"/>
          <w:sz w:val="20"/>
          <w:lang w:val="lt-LT"/>
        </w:rPr>
        <w:t>utarti</w:t>
      </w:r>
      <w:r w:rsidR="008757AF">
        <w:rPr>
          <w:rFonts w:ascii="Arial" w:hAnsi="Arial" w:cs="Arial"/>
          <w:sz w:val="20"/>
          <w:lang w:val="lt-LT"/>
        </w:rPr>
        <w:t>e</w:t>
      </w:r>
      <w:r w:rsidR="008757AF" w:rsidRPr="002F6F1E">
        <w:rPr>
          <w:rFonts w:ascii="Arial" w:hAnsi="Arial" w:cs="Arial"/>
          <w:sz w:val="20"/>
          <w:lang w:val="lt-LT"/>
        </w:rPr>
        <w:t>s</w:t>
      </w:r>
      <w:r w:rsidRPr="002F6F1E">
        <w:rPr>
          <w:rFonts w:ascii="Arial" w:hAnsi="Arial" w:cs="Arial"/>
          <w:sz w:val="20"/>
          <w:lang w:val="lt-LT"/>
        </w:rPr>
        <w:t xml:space="preserve"> galiojimo terminas numatytas atsižvelgiant į Sutarties SD 8.3. punktą.</w:t>
      </w:r>
    </w:p>
    <w:p w14:paraId="56A9FB29" w14:textId="77777777" w:rsidR="00FA73E9" w:rsidRPr="002F6F1E" w:rsidRDefault="00FA73E9" w:rsidP="00AF16D3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56AEA3A" w14:textId="50AF941A" w:rsidR="00FA73E9" w:rsidRPr="002F6F1E" w:rsidRDefault="00E1581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  <w:proofErr w:type="spellStart"/>
      <w:r w:rsidRPr="00E1581A">
        <w:rPr>
          <w:rFonts w:ascii="Arial" w:hAnsi="Arial" w:cs="Arial"/>
          <w:sz w:val="20"/>
          <w:lang w:val="en-US"/>
        </w:rPr>
        <w:t>Vadovaujantis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1581A">
        <w:rPr>
          <w:rFonts w:ascii="Arial" w:hAnsi="Arial" w:cs="Arial"/>
          <w:sz w:val="20"/>
          <w:lang w:val="en-US"/>
        </w:rPr>
        <w:t>Bendrųjų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1581A">
        <w:rPr>
          <w:rFonts w:ascii="Arial" w:hAnsi="Arial" w:cs="Arial"/>
          <w:sz w:val="20"/>
          <w:lang w:val="en-US"/>
        </w:rPr>
        <w:t>pirkimų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1581A">
        <w:rPr>
          <w:rFonts w:ascii="Arial" w:hAnsi="Arial" w:cs="Arial"/>
          <w:sz w:val="20"/>
          <w:lang w:val="en-US"/>
        </w:rPr>
        <w:t>sąlygų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(BPS) </w:t>
      </w:r>
      <w:proofErr w:type="spellStart"/>
      <w:r w:rsidRPr="00E1581A">
        <w:rPr>
          <w:rFonts w:ascii="Arial" w:hAnsi="Arial" w:cs="Arial"/>
          <w:sz w:val="20"/>
          <w:lang w:val="en-US"/>
        </w:rPr>
        <w:t>nuostatomis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bei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tiekėjo</w:t>
      </w:r>
      <w:proofErr w:type="spellEnd"/>
      <w:r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prašymu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, </w:t>
      </w:r>
      <w:proofErr w:type="spellStart"/>
      <w:r w:rsidRPr="00E1581A">
        <w:rPr>
          <w:rFonts w:ascii="Arial" w:hAnsi="Arial" w:cs="Arial"/>
          <w:sz w:val="20"/>
          <w:lang w:val="en-US"/>
        </w:rPr>
        <w:t>nukeliamas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lang w:val="en-US"/>
        </w:rPr>
        <w:t>Pirmini</w:t>
      </w:r>
      <w:proofErr w:type="spellEnd"/>
      <w:r>
        <w:rPr>
          <w:rFonts w:ascii="Arial" w:hAnsi="Arial" w:cs="Arial"/>
          <w:sz w:val="20"/>
          <w:lang w:val="lt-LT"/>
        </w:rPr>
        <w:t>ų pasiūlymų</w:t>
      </w:r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1581A">
        <w:rPr>
          <w:rFonts w:ascii="Arial" w:hAnsi="Arial" w:cs="Arial"/>
          <w:sz w:val="20"/>
          <w:lang w:val="en-US"/>
        </w:rPr>
        <w:t>pateikimo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1581A">
        <w:rPr>
          <w:rFonts w:ascii="Arial" w:hAnsi="Arial" w:cs="Arial"/>
          <w:sz w:val="20"/>
          <w:lang w:val="en-US"/>
        </w:rPr>
        <w:t>terminas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. </w:t>
      </w:r>
      <w:proofErr w:type="spellStart"/>
      <w:r w:rsidRPr="00E1581A">
        <w:rPr>
          <w:rFonts w:ascii="Arial" w:hAnsi="Arial" w:cs="Arial"/>
          <w:sz w:val="20"/>
          <w:lang w:val="en-US"/>
        </w:rPr>
        <w:t>Informacija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1581A">
        <w:rPr>
          <w:rFonts w:ascii="Arial" w:hAnsi="Arial" w:cs="Arial"/>
          <w:sz w:val="20"/>
          <w:lang w:val="en-US"/>
        </w:rPr>
        <w:t>apie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1581A">
        <w:rPr>
          <w:rFonts w:ascii="Arial" w:hAnsi="Arial" w:cs="Arial"/>
          <w:sz w:val="20"/>
          <w:lang w:val="en-US"/>
        </w:rPr>
        <w:t>patikslintą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1581A">
        <w:rPr>
          <w:rFonts w:ascii="Arial" w:hAnsi="Arial" w:cs="Arial"/>
          <w:sz w:val="20"/>
          <w:lang w:val="en-US"/>
        </w:rPr>
        <w:t>terminą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Pr="00E1581A">
        <w:rPr>
          <w:rFonts w:ascii="Arial" w:hAnsi="Arial" w:cs="Arial"/>
          <w:sz w:val="20"/>
          <w:lang w:val="en-US"/>
        </w:rPr>
        <w:t>pateikiama</w:t>
      </w:r>
      <w:proofErr w:type="spellEnd"/>
      <w:r w:rsidRPr="00E1581A">
        <w:rPr>
          <w:rFonts w:ascii="Arial" w:hAnsi="Arial" w:cs="Arial"/>
          <w:sz w:val="20"/>
          <w:lang w:val="en-US"/>
        </w:rPr>
        <w:t xml:space="preserve"> CVP </w:t>
      </w:r>
      <w:proofErr w:type="gramStart"/>
      <w:r w:rsidRPr="00E1581A">
        <w:rPr>
          <w:rFonts w:ascii="Arial" w:hAnsi="Arial" w:cs="Arial"/>
          <w:sz w:val="20"/>
          <w:lang w:val="en-US"/>
        </w:rPr>
        <w:t>IS .</w:t>
      </w:r>
      <w:proofErr w:type="gramEnd"/>
    </w:p>
    <w:p w14:paraId="736A666D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48BC9C2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A40131C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3647D7B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BE39F62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DEB5896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892084C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CCA12A0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560EF37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D894F10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76D5CD5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4A2E4BBD" w14:textId="77777777" w:rsidR="00FA73E9" w:rsidRPr="002F6F1E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7771725E" w14:textId="77777777" w:rsidR="00FA73E9" w:rsidRDefault="00FA73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696A666E" w14:textId="77777777" w:rsidR="000E689F" w:rsidRPr="002F6F1E" w:rsidRDefault="000E689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8FBC49D" w14:textId="77777777" w:rsidR="00F57C6A" w:rsidRDefault="00F57C6A" w:rsidP="00FE409D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0"/>
          <w:lang w:val="lt-LT"/>
        </w:rPr>
      </w:pPr>
    </w:p>
    <w:p w14:paraId="153FFB7C" w14:textId="77777777" w:rsidR="00F57C6A" w:rsidRPr="002F6F1E" w:rsidRDefault="00F57C6A" w:rsidP="00E1581A">
      <w:pPr>
        <w:pStyle w:val="Tekstas"/>
        <w:tabs>
          <w:tab w:val="clear" w:pos="6804"/>
        </w:tabs>
        <w:ind w:firstLine="0"/>
        <w:jc w:val="both"/>
        <w:rPr>
          <w:rFonts w:ascii="Arial" w:hAnsi="Arial" w:cs="Arial"/>
          <w:sz w:val="20"/>
          <w:lang w:val="lt-LT"/>
        </w:rPr>
      </w:pPr>
    </w:p>
    <w:p w14:paraId="4A7FA3F0" w14:textId="77777777" w:rsidR="00F57C6A" w:rsidRPr="002F6F1E" w:rsidRDefault="00F57C6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1226FD2A" w14:textId="77777777" w:rsidR="00F57C6A" w:rsidRPr="002F6F1E" w:rsidRDefault="00F57C6A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6A1FE59" w14:textId="77777777" w:rsidR="006A70EF" w:rsidRPr="002F6F1E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EBDB0BB" w14:textId="2768E79D" w:rsidR="004E1453" w:rsidRPr="002F6F1E" w:rsidRDefault="000E689F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0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F57C6A" w:rsidRPr="002F6F1E">
            <w:rPr>
              <w:rFonts w:ascii="Arial" w:hAnsi="Arial" w:cs="Arial"/>
              <w:bCs/>
              <w:sz w:val="20"/>
            </w:rPr>
            <w:t>Strateginių pirkimų projektų vadovė Gintarė Alonderytė, Mob. +370 682 98053</w:t>
          </w:r>
        </w:sdtContent>
      </w:sdt>
    </w:p>
    <w:p w14:paraId="7B67B6F9" w14:textId="77777777" w:rsidR="00777D81" w:rsidRPr="002F6F1E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2F6F1E" w:rsidSect="00F57C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E689F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7F2"/>
    <w:multiLevelType w:val="hybridMultilevel"/>
    <w:tmpl w:val="CB840A30"/>
    <w:lvl w:ilvl="0" w:tplc="DE66A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CE1135"/>
    <w:multiLevelType w:val="multilevel"/>
    <w:tmpl w:val="AF6068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3B822109"/>
    <w:multiLevelType w:val="hybridMultilevel"/>
    <w:tmpl w:val="742C4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26313"/>
    <w:multiLevelType w:val="multilevel"/>
    <w:tmpl w:val="872C3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5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5"/>
  </w:num>
  <w:num w:numId="2" w16cid:durableId="1949964827">
    <w:abstractNumId w:val="1"/>
  </w:num>
  <w:num w:numId="3" w16cid:durableId="1873301258">
    <w:abstractNumId w:val="0"/>
  </w:num>
  <w:num w:numId="4" w16cid:durableId="1844513987">
    <w:abstractNumId w:val="3"/>
  </w:num>
  <w:num w:numId="5" w16cid:durableId="841890891">
    <w:abstractNumId w:val="2"/>
  </w:num>
  <w:num w:numId="6" w16cid:durableId="1070693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E689F"/>
    <w:rsid w:val="000F5F10"/>
    <w:rsid w:val="001079F4"/>
    <w:rsid w:val="00110836"/>
    <w:rsid w:val="001122AD"/>
    <w:rsid w:val="00136CB5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49BB"/>
    <w:rsid w:val="002169FA"/>
    <w:rsid w:val="0021714B"/>
    <w:rsid w:val="0022365E"/>
    <w:rsid w:val="002366B4"/>
    <w:rsid w:val="00250828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2F6F1E"/>
    <w:rsid w:val="00314C69"/>
    <w:rsid w:val="00326AC1"/>
    <w:rsid w:val="003353F7"/>
    <w:rsid w:val="00350E88"/>
    <w:rsid w:val="00363239"/>
    <w:rsid w:val="00366285"/>
    <w:rsid w:val="00367E4B"/>
    <w:rsid w:val="00374C47"/>
    <w:rsid w:val="0038264B"/>
    <w:rsid w:val="00397663"/>
    <w:rsid w:val="003A5284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86FD2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757AF"/>
    <w:rsid w:val="00890A3E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57A4D"/>
    <w:rsid w:val="00965979"/>
    <w:rsid w:val="00970868"/>
    <w:rsid w:val="00980FE5"/>
    <w:rsid w:val="009822DD"/>
    <w:rsid w:val="00984B88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16D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1F2A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1581A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57C6A"/>
    <w:rsid w:val="00F77462"/>
    <w:rsid w:val="00F8345A"/>
    <w:rsid w:val="00F90166"/>
    <w:rsid w:val="00F946E1"/>
    <w:rsid w:val="00FA032A"/>
    <w:rsid w:val="00FA06EF"/>
    <w:rsid w:val="00FA1E4A"/>
    <w:rsid w:val="00FA6057"/>
    <w:rsid w:val="00FA73E9"/>
    <w:rsid w:val="00FB32B1"/>
    <w:rsid w:val="00FB52D8"/>
    <w:rsid w:val="00FC0265"/>
    <w:rsid w:val="00FC477B"/>
    <w:rsid w:val="00FC7C80"/>
    <w:rsid w:val="00FD1907"/>
    <w:rsid w:val="00FD5DB2"/>
    <w:rsid w:val="00FE1FB4"/>
    <w:rsid w:val="00FE1FCF"/>
    <w:rsid w:val="00FE409D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Lente"/>
    <w:basedOn w:val="Normal"/>
    <w:link w:val="ListParagraphChar"/>
    <w:uiPriority w:val="34"/>
    <w:qFormat/>
    <w:rsid w:val="00F57C6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F6F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0828"/>
    <w:rsid w:val="0025267D"/>
    <w:rsid w:val="00363239"/>
    <w:rsid w:val="00367E4B"/>
    <w:rsid w:val="003960AA"/>
    <w:rsid w:val="003A0A93"/>
    <w:rsid w:val="003E6058"/>
    <w:rsid w:val="006057A0"/>
    <w:rsid w:val="00640436"/>
    <w:rsid w:val="00647C94"/>
    <w:rsid w:val="0086140A"/>
    <w:rsid w:val="00890A3E"/>
    <w:rsid w:val="00934ADC"/>
    <w:rsid w:val="00984B88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0d56dc3-703a-4182-8388-758bb2727e6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10</cp:revision>
  <dcterms:created xsi:type="dcterms:W3CDTF">2025-10-24T10:46:00Z</dcterms:created>
  <dcterms:modified xsi:type="dcterms:W3CDTF">2025-10-27T07:45:00Z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