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PĖSTININKŲ BRIGADOS „GELEŽINIS VILKAS“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7611A3" w:rsidRDefault="00F015BD">
      <w:pPr>
        <w:widowControl w:val="0"/>
        <w:spacing w:after="0" w:line="240" w:lineRule="auto"/>
        <w:jc w:val="center"/>
        <w:rPr>
          <w:rFonts w:ascii="Times New Roman" w:eastAsia="Times New Roman" w:hAnsi="Times New Roman" w:cs="Times New Roman"/>
          <w:b/>
          <w:sz w:val="28"/>
          <w:lang w:val="lt-LT"/>
        </w:rPr>
      </w:pPr>
    </w:p>
    <w:p w:rsidR="00F015BD" w:rsidRPr="007611A3" w:rsidRDefault="007611A3">
      <w:pPr>
        <w:spacing w:after="0" w:line="240" w:lineRule="auto"/>
        <w:jc w:val="center"/>
        <w:rPr>
          <w:rFonts w:ascii="Times New Roman" w:eastAsia="Times New Roman" w:hAnsi="Times New Roman" w:cs="Times New Roman"/>
          <w:b/>
          <w:sz w:val="28"/>
          <w:lang w:val="lt-LT"/>
        </w:rPr>
      </w:pPr>
      <w:r w:rsidRPr="007611A3">
        <w:rPr>
          <w:rFonts w:ascii="Times New Roman" w:eastAsia="Calibri" w:hAnsi="Times New Roman" w:cs="Times New Roman"/>
          <w:b/>
          <w:color w:val="000000" w:themeColor="text1"/>
          <w:sz w:val="28"/>
        </w:rPr>
        <w:t>IŠORINIS UŽDANGALAS AUTOMOBILIUI</w:t>
      </w:r>
      <w:r w:rsidRPr="007611A3">
        <w:rPr>
          <w:rFonts w:ascii="Times New Roman" w:eastAsia="Times New Roman" w:hAnsi="Times New Roman" w:cs="Times New Roman"/>
          <w:b/>
          <w:sz w:val="36"/>
          <w:lang w:val="lt-LT"/>
        </w:rPr>
        <w:t xml:space="preserve"> </w:t>
      </w:r>
      <w:r w:rsidRPr="007611A3">
        <w:rPr>
          <w:rFonts w:ascii="Times New Roman" w:eastAsia="Times New Roman" w:hAnsi="Times New Roman" w:cs="Times New Roman"/>
          <w:b/>
          <w:sz w:val="28"/>
          <w:lang w:val="lt-LT"/>
        </w:rPr>
        <w:t>PIRKIMO</w:t>
      </w:r>
      <w:r w:rsidR="005B201A" w:rsidRPr="007611A3">
        <w:rPr>
          <w:rFonts w:ascii="Times New Roman" w:eastAsia="Times New Roman" w:hAnsi="Times New Roman" w:cs="Times New Roman"/>
          <w:b/>
          <w:sz w:val="28"/>
          <w:lang w:val="lt-LT"/>
        </w:rPr>
        <w:t xml:space="preserve">, </w:t>
      </w:r>
    </w:p>
    <w:p w:rsidR="00F015BD" w:rsidRPr="007611A3" w:rsidRDefault="005B201A">
      <w:pPr>
        <w:spacing w:after="0" w:line="240" w:lineRule="auto"/>
        <w:jc w:val="center"/>
        <w:rPr>
          <w:rFonts w:ascii="Times New Roman" w:eastAsia="Times New Roman" w:hAnsi="Times New Roman" w:cs="Times New Roman"/>
          <w:b/>
          <w:sz w:val="28"/>
          <w:lang w:val="lt-LT"/>
        </w:rPr>
      </w:pPr>
      <w:r w:rsidRPr="007611A3">
        <w:rPr>
          <w:rFonts w:ascii="Times New Roman" w:eastAsia="Times New Roman" w:hAnsi="Times New Roman" w:cs="Times New Roman"/>
          <w:b/>
          <w:sz w:val="28"/>
          <w:lang w:val="lt-LT"/>
        </w:rPr>
        <w:t xml:space="preserve">VYKDOMO SKELBIAMOS APKLAUSOS BŪDU, </w:t>
      </w:r>
    </w:p>
    <w:p w:rsidR="00F015BD" w:rsidRPr="007611A3" w:rsidRDefault="005B201A">
      <w:pPr>
        <w:spacing w:after="0" w:line="240" w:lineRule="auto"/>
        <w:jc w:val="center"/>
        <w:rPr>
          <w:rFonts w:ascii="Times New Roman" w:eastAsia="Times New Roman" w:hAnsi="Times New Roman" w:cs="Times New Roman"/>
          <w:b/>
          <w:sz w:val="28"/>
          <w:lang w:val="lt-LT"/>
        </w:rPr>
      </w:pPr>
      <w:r w:rsidRPr="007611A3">
        <w:rPr>
          <w:rFonts w:ascii="Times New Roman" w:eastAsia="Times New Roman" w:hAnsi="Times New Roman" w:cs="Times New Roman"/>
          <w:b/>
          <w:sz w:val="28"/>
          <w:lang w:val="lt-LT"/>
        </w:rPr>
        <w:t xml:space="preserve"> SĄLYGOS</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5B201A" w:rsidP="00C32624">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ROKANTIŠKĖS, </w:t>
      </w:r>
      <w:r w:rsidR="009418E8">
        <w:rPr>
          <w:rFonts w:ascii="Times New Roman" w:eastAsia="Times New Roman" w:hAnsi="Times New Roman" w:cs="Times New Roman"/>
          <w:b/>
          <w:sz w:val="24"/>
          <w:lang w:val="lt-LT"/>
        </w:rPr>
        <w:t>2025</w:t>
      </w: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TURINYS</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rsidR="00F015BD" w:rsidRPr="005B201A" w:rsidRDefault="00F015BD">
      <w:pPr>
        <w:widowControl w:val="0"/>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7611A3" w:rsidRPr="00C32624">
        <w:rPr>
          <w:rFonts w:ascii="Times New Roman" w:hAnsi="Times New Roman" w:cs="Times New Roman"/>
          <w:b/>
          <w:color w:val="000000" w:themeColor="text1"/>
          <w:lang w:val="lt-LT"/>
        </w:rPr>
        <w:t>išorinių uždangalų automobiliui</w:t>
      </w:r>
      <w:r w:rsidR="007611A3" w:rsidRPr="007611A3">
        <w:rPr>
          <w:b/>
          <w:color w:val="000000" w:themeColor="text1"/>
        </w:rPr>
        <w:t xml:space="preserve"> </w:t>
      </w:r>
      <w:r w:rsidRPr="005B201A">
        <w:rPr>
          <w:rFonts w:ascii="Times New Roman" w:eastAsia="Times New Roman" w:hAnsi="Times New Roman" w:cs="Times New Roman"/>
          <w:sz w:val="24"/>
          <w:lang w:val="lt-LT"/>
        </w:rPr>
        <w:t>(toliau – Prekės), kainų apklausą.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9418E8">
        <w:rPr>
          <w:rFonts w:ascii="Times New Roman" w:eastAsia="Times New Roman" w:hAnsi="Times New Roman" w:cs="Times New Roman"/>
          <w:sz w:val="24"/>
          <w:lang w:val="lt-LT"/>
        </w:rPr>
        <w:t xml:space="preserve">įsigijimų vyresn. specialistė </w:t>
      </w:r>
      <w:proofErr w:type="spellStart"/>
      <w:r w:rsidR="007611A3">
        <w:rPr>
          <w:rFonts w:ascii="Times New Roman" w:eastAsia="Times New Roman" w:hAnsi="Times New Roman" w:cs="Times New Roman"/>
          <w:sz w:val="24"/>
          <w:lang w:val="lt-LT"/>
        </w:rPr>
        <w:t>srž</w:t>
      </w:r>
      <w:proofErr w:type="spellEnd"/>
      <w:r w:rsidR="007611A3">
        <w:rPr>
          <w:rFonts w:ascii="Times New Roman" w:eastAsia="Times New Roman" w:hAnsi="Times New Roman" w:cs="Times New Roman"/>
          <w:sz w:val="24"/>
          <w:lang w:val="lt-LT"/>
        </w:rPr>
        <w:t>. Marius Šimkūnas</w:t>
      </w:r>
      <w:r w:rsidRPr="005B201A">
        <w:rPr>
          <w:rFonts w:ascii="Times New Roman" w:eastAsia="Times New Roman" w:hAnsi="Times New Roman" w:cs="Times New Roman"/>
          <w:sz w:val="24"/>
          <w:lang w:val="lt-LT"/>
        </w:rPr>
        <w:t>, tel. (8~706) 82943, Lietuvos kariuomenės Pėstininkų brigados „Geležinis Vilkas“ Kunigaikščio Vaidoto Pėstininkų  batalionas.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1.6. Skelbimas apie pirkimą siunčiamas galimiems Prekių tiekėjams, Centrinėje viešųjų pirkimų informacinėje sistemoje (toliau – CVP IS). Pirkimą organizuoja vadovaujantis Viešųjų pirkimų įstatymu (aktualia redakcija) nurodytiems tiekėjams.</w:t>
      </w:r>
    </w:p>
    <w:p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II. PIRKIMO OBJEKTAS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w:t>
      </w:r>
      <w:proofErr w:type="spellStart"/>
      <w:r w:rsidRPr="005B201A">
        <w:rPr>
          <w:rFonts w:ascii="Times New Roman" w:eastAsia="Times New Roman" w:hAnsi="Times New Roman" w:cs="Times New Roman"/>
          <w:color w:val="000000"/>
          <w:sz w:val="24"/>
          <w:lang w:val="lt-LT"/>
        </w:rPr>
        <w:t>Šatrininkų</w:t>
      </w:r>
      <w:proofErr w:type="spellEnd"/>
      <w:r w:rsidRPr="005B201A">
        <w:rPr>
          <w:rFonts w:ascii="Times New Roman" w:eastAsia="Times New Roman" w:hAnsi="Times New Roman" w:cs="Times New Roman"/>
          <w:color w:val="000000"/>
          <w:sz w:val="24"/>
          <w:lang w:val="lt-LT"/>
        </w:rPr>
        <w:t xml:space="preserve">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w:t>
      </w:r>
      <w:r w:rsidRPr="00C32624">
        <w:rPr>
          <w:rFonts w:ascii="Times New Roman" w:eastAsia="Times New Roman" w:hAnsi="Times New Roman" w:cs="Times New Roman"/>
          <w:sz w:val="24"/>
          <w:lang w:val="lt-LT"/>
        </w:rPr>
        <w:t>įsigyti</w:t>
      </w:r>
      <w:r w:rsidRPr="00C32624">
        <w:rPr>
          <w:rFonts w:ascii="Times New Roman" w:eastAsia="Times New Roman" w:hAnsi="Times New Roman" w:cs="Times New Roman"/>
          <w:b/>
          <w:sz w:val="24"/>
          <w:lang w:val="lt-LT"/>
        </w:rPr>
        <w:t xml:space="preserve"> </w:t>
      </w:r>
      <w:r w:rsidR="007611A3" w:rsidRPr="00C32624">
        <w:rPr>
          <w:rFonts w:ascii="Times New Roman" w:hAnsi="Times New Roman" w:cs="Times New Roman"/>
          <w:b/>
          <w:color w:val="000000" w:themeColor="text1"/>
          <w:lang w:val="lt-LT"/>
        </w:rPr>
        <w:t>išorinius uždangalus automobiliui</w:t>
      </w:r>
      <w:r w:rsidRPr="00C32624">
        <w:rPr>
          <w:rFonts w:ascii="Times New Roman" w:eastAsia="Times New Roman" w:hAnsi="Times New Roman" w:cs="Times New Roman"/>
          <w:b/>
          <w:sz w:val="24"/>
          <w:lang w:val="lt-LT"/>
        </w:rPr>
        <w:t>,</w:t>
      </w:r>
      <w:r w:rsidRPr="005B201A">
        <w:rPr>
          <w:rFonts w:ascii="Times New Roman" w:eastAsia="Times New Roman" w:hAnsi="Times New Roman" w:cs="Times New Roman"/>
          <w:b/>
          <w:sz w:val="24"/>
          <w:lang w:val="lt-LT"/>
        </w:rPr>
        <w:t xml:space="preserve"> </w:t>
      </w:r>
      <w:r w:rsidRPr="005B201A">
        <w:rPr>
          <w:rFonts w:ascii="Times New Roman" w:eastAsia="Times New Roman" w:hAnsi="Times New Roman" w:cs="Times New Roman"/>
          <w:sz w:val="24"/>
          <w:lang w:val="lt-LT"/>
        </w:rPr>
        <w:t>pateikta 1 priede</w:t>
      </w:r>
      <w:r w:rsidRPr="005B201A">
        <w:rPr>
          <w:rFonts w:ascii="Times New Roman" w:eastAsia="Times New Roman" w:hAnsi="Times New Roman" w:cs="Times New Roman"/>
          <w:b/>
          <w:sz w:val="24"/>
          <w:lang w:val="lt-LT"/>
        </w:rPr>
        <w:t>.</w:t>
      </w:r>
      <w:r w:rsidRPr="005B201A">
        <w:rPr>
          <w:rFonts w:ascii="Times New Roman" w:eastAsia="Times New Roman" w:hAnsi="Times New Roman" w:cs="Times New Roman"/>
          <w:sz w:val="24"/>
          <w:lang w:val="lt-LT"/>
        </w:rPr>
        <w:t xml:space="preserve"> BVPŽ kodas </w:t>
      </w:r>
      <w:r w:rsidR="007611A3" w:rsidRPr="007611A3">
        <w:rPr>
          <w:rFonts w:ascii="Times New Roman" w:eastAsia="Times New Roman" w:hAnsi="Times New Roman" w:cs="Times New Roman"/>
          <w:sz w:val="24"/>
          <w:lang w:val="lt-LT"/>
        </w:rPr>
        <w:t>44115710-9</w:t>
      </w:r>
      <w:r w:rsidRPr="005B201A">
        <w:rPr>
          <w:rFonts w:ascii="Times New Roman" w:eastAsia="Times New Roman" w:hAnsi="Times New Roman" w:cs="Times New Roman"/>
          <w:sz w:val="24"/>
          <w:lang w:val="lt-LT"/>
        </w:rPr>
        <w:t>.</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2.2. Perkamų Prekių techninės charakteristikos nustatytos pateiktoje techninėje specifikacijoje priede Nr.1.</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Pr="005B201A">
        <w:rPr>
          <w:rFonts w:ascii="Times New Roman" w:eastAsia="Times New Roman" w:hAnsi="Times New Roman" w:cs="Times New Roman"/>
          <w:color w:val="000000"/>
          <w:sz w:val="24"/>
          <w:lang w:val="lt-LT"/>
        </w:rPr>
        <w:t xml:space="preserve">Vilniaus raj. sav. </w:t>
      </w:r>
      <w:proofErr w:type="spellStart"/>
      <w:r w:rsidRPr="005B201A">
        <w:rPr>
          <w:rFonts w:ascii="Times New Roman" w:eastAsia="Times New Roman" w:hAnsi="Times New Roman" w:cs="Times New Roman"/>
          <w:color w:val="000000"/>
          <w:sz w:val="24"/>
          <w:lang w:val="lt-LT"/>
        </w:rPr>
        <w:t>Šatrininkų</w:t>
      </w:r>
      <w:proofErr w:type="spellEnd"/>
      <w:r w:rsidRPr="005B201A">
        <w:rPr>
          <w:rFonts w:ascii="Times New Roman" w:eastAsia="Times New Roman" w:hAnsi="Times New Roman" w:cs="Times New Roman"/>
          <w:color w:val="000000"/>
          <w:sz w:val="24"/>
          <w:lang w:val="lt-LT"/>
        </w:rPr>
        <w:t xml:space="preserve"> sen., Rokantiškių k., Šumsko pl. 96, LT-13126.</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124CFF">
        <w:rPr>
          <w:rFonts w:ascii="Times New Roman" w:eastAsia="Times New Roman" w:hAnsi="Times New Roman" w:cs="Times New Roman"/>
          <w:b/>
          <w:sz w:val="24"/>
          <w:lang w:val="lt-LT"/>
        </w:rPr>
        <w:t>kaina.</w:t>
      </w:r>
    </w:p>
    <w:p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136E1E">
        <w:rPr>
          <w:rFonts w:ascii="Times New Roman" w:eastAsia="Times New Roman" w:hAnsi="Times New Roman" w:cs="Times New Roman"/>
          <w:sz w:val="24"/>
          <w:lang w:val="lt-LT"/>
        </w:rPr>
        <w:t>neskaidomas.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5B201A">
        <w:rPr>
          <w:rFonts w:ascii="Times New Roman" w:eastAsia="Times New Roman" w:hAnsi="Times New Roman" w:cs="Times New Roman"/>
          <w:sz w:val="24"/>
          <w:lang w:val="lt-LT"/>
        </w:rPr>
        <w:t>pdf</w:t>
      </w:r>
      <w:proofErr w:type="spellEnd"/>
      <w:r w:rsidRPr="005B201A">
        <w:rPr>
          <w:rFonts w:ascii="Times New Roman" w:eastAsia="Times New Roman" w:hAnsi="Times New Roman" w:cs="Times New Roman"/>
          <w:sz w:val="24"/>
          <w:lang w:val="lt-LT"/>
        </w:rPr>
        <w:t xml:space="preserve">, </w:t>
      </w:r>
      <w:proofErr w:type="spellStart"/>
      <w:r w:rsidRPr="005B201A">
        <w:rPr>
          <w:rFonts w:ascii="Times New Roman" w:eastAsia="Times New Roman" w:hAnsi="Times New Roman" w:cs="Times New Roman"/>
          <w:sz w:val="24"/>
          <w:lang w:val="lt-LT"/>
        </w:rPr>
        <w:t>jpg</w:t>
      </w:r>
      <w:proofErr w:type="spellEnd"/>
      <w:r w:rsidRPr="005B201A">
        <w:rPr>
          <w:rFonts w:ascii="Times New Roman" w:eastAsia="Times New Roman" w:hAnsi="Times New Roman" w:cs="Times New Roman"/>
          <w:sz w:val="24"/>
          <w:lang w:val="lt-LT"/>
        </w:rPr>
        <w:t xml:space="preserve">, </w:t>
      </w:r>
      <w:proofErr w:type="spellStart"/>
      <w:r w:rsidRPr="005B201A">
        <w:rPr>
          <w:rFonts w:ascii="Times New Roman" w:eastAsia="Times New Roman" w:hAnsi="Times New Roman" w:cs="Times New Roman"/>
          <w:sz w:val="24"/>
          <w:lang w:val="lt-LT"/>
        </w:rPr>
        <w:t>doc</w:t>
      </w:r>
      <w:proofErr w:type="spellEnd"/>
      <w:r w:rsidRPr="005B201A">
        <w:rPr>
          <w:rFonts w:ascii="Times New Roman" w:eastAsia="Times New Roman" w:hAnsi="Times New Roman" w:cs="Times New Roman"/>
          <w:sz w:val="24"/>
          <w:lang w:val="lt-LT"/>
        </w:rPr>
        <w:t xml:space="preserve"> ir kt.).</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xml:space="preserve">.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5B201A">
        <w:rPr>
          <w:rFonts w:ascii="Times New Roman" w:eastAsia="Times New Roman" w:hAnsi="Times New Roman" w:cs="Times New Roman"/>
          <w:sz w:val="24"/>
          <w:lang w:val="lt-LT"/>
        </w:rPr>
        <w:t>neaiškumams</w:t>
      </w:r>
      <w:proofErr w:type="spellEnd"/>
      <w:r w:rsidRPr="005B201A">
        <w:rPr>
          <w:rFonts w:ascii="Times New Roman" w:eastAsia="Times New Roman" w:hAnsi="Times New Roman" w:cs="Times New Roman"/>
          <w:sz w:val="24"/>
          <w:lang w:val="lt-LT"/>
        </w:rPr>
        <w:t>, dviprasmybėms, ginčams ar pan.) pasilieka sau teisę pareikalauti vertimo į lietuvių kalbą.</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lastRenderedPageBreak/>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5">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5B201A">
        <w:rPr>
          <w:rFonts w:ascii="Times New Roman" w:eastAsia="Times New Roman" w:hAnsi="Times New Roman" w:cs="Times New Roman"/>
          <w:sz w:val="24"/>
          <w:lang w:val="lt-LT"/>
        </w:rPr>
        <w:t>įrodymus</w:t>
      </w:r>
      <w:proofErr w:type="spellEnd"/>
      <w:r w:rsidRPr="005B201A">
        <w:rPr>
          <w:rFonts w:ascii="Times New Roman" w:eastAsia="Times New Roman" w:hAnsi="Times New Roman" w:cs="Times New Roman"/>
          <w:sz w:val="24"/>
          <w:lang w:val="lt-LT"/>
        </w:rPr>
        <w:t>, laikoma, kad tokia informacija yra nekonfidenciali.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2025</w:t>
      </w:r>
      <w:r w:rsidRPr="00A42C5F">
        <w:rPr>
          <w:rFonts w:ascii="Times New Roman" w:hAnsi="Times New Roman" w:cs="Times New Roman"/>
          <w:b/>
          <w:sz w:val="24"/>
        </w:rPr>
        <w:t xml:space="preserve"> m. </w:t>
      </w:r>
      <w:proofErr w:type="spellStart"/>
      <w:proofErr w:type="gramStart"/>
      <w:r w:rsidR="000B6B32">
        <w:rPr>
          <w:rFonts w:ascii="Times New Roman" w:hAnsi="Times New Roman" w:cs="Times New Roman"/>
          <w:b/>
          <w:sz w:val="24"/>
        </w:rPr>
        <w:t>spalio</w:t>
      </w:r>
      <w:proofErr w:type="spellEnd"/>
      <w:proofErr w:type="gramEnd"/>
      <w:r w:rsidR="000B6B32">
        <w:rPr>
          <w:rFonts w:ascii="Times New Roman" w:hAnsi="Times New Roman" w:cs="Times New Roman"/>
          <w:b/>
          <w:sz w:val="24"/>
        </w:rPr>
        <w:t xml:space="preserve"> 30 d. 16</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2025</w:t>
      </w:r>
      <w:r w:rsidR="00C4716E">
        <w:rPr>
          <w:rFonts w:ascii="Times New Roman" w:hAnsi="Times New Roman" w:cs="Times New Roman"/>
          <w:b/>
          <w:sz w:val="24"/>
        </w:rPr>
        <w:t xml:space="preserve"> m. </w:t>
      </w:r>
      <w:proofErr w:type="spellStart"/>
      <w:proofErr w:type="gramStart"/>
      <w:r w:rsidR="007611A3">
        <w:rPr>
          <w:rFonts w:ascii="Times New Roman" w:hAnsi="Times New Roman" w:cs="Times New Roman"/>
          <w:b/>
          <w:sz w:val="24"/>
        </w:rPr>
        <w:t>spalio</w:t>
      </w:r>
      <w:proofErr w:type="spellEnd"/>
      <w:proofErr w:type="gramEnd"/>
      <w:r w:rsidR="00F44B8E">
        <w:rPr>
          <w:rFonts w:ascii="Times New Roman" w:hAnsi="Times New Roman" w:cs="Times New Roman"/>
          <w:b/>
          <w:sz w:val="24"/>
        </w:rPr>
        <w:t xml:space="preserve"> </w:t>
      </w:r>
      <w:r w:rsidR="000B6B32">
        <w:rPr>
          <w:rFonts w:ascii="Times New Roman" w:hAnsi="Times New Roman" w:cs="Times New Roman"/>
          <w:b/>
          <w:sz w:val="24"/>
        </w:rPr>
        <w:t>31 d. 16</w:t>
      </w:r>
      <w:bookmarkStart w:id="0" w:name="_GoBack"/>
      <w:bookmarkEnd w:id="0"/>
      <w:r w:rsidRPr="00A42C5F">
        <w:rPr>
          <w:rFonts w:ascii="Times New Roman" w:hAnsi="Times New Roman" w:cs="Times New Roman"/>
          <w:b/>
          <w:sz w:val="24"/>
        </w:rPr>
        <w:t xml:space="preserve"> val. 00 min. </w:t>
      </w:r>
      <w:proofErr w:type="spellStart"/>
      <w:r w:rsidRPr="00A42C5F">
        <w:rPr>
          <w:rFonts w:ascii="Times New Roman" w:hAnsi="Times New Roman" w:cs="Times New Roman"/>
          <w:b/>
          <w:sz w:val="24"/>
        </w:rPr>
        <w:t>Priedai</w:t>
      </w:r>
      <w:proofErr w:type="spellEnd"/>
      <w:r w:rsidRPr="00A42C5F">
        <w:rPr>
          <w:rFonts w:ascii="Times New Roman" w:hAnsi="Times New Roman" w:cs="Times New Roman"/>
          <w:b/>
          <w:sz w:val="24"/>
        </w:rPr>
        <w:t xml:space="preserve"> </w:t>
      </w:r>
      <w:proofErr w:type="spellStart"/>
      <w:r w:rsidRPr="00A42C5F">
        <w:rPr>
          <w:rFonts w:ascii="Times New Roman" w:hAnsi="Times New Roman" w:cs="Times New Roman"/>
          <w:b/>
          <w:sz w:val="24"/>
        </w:rPr>
        <w:t>Nr</w:t>
      </w:r>
      <w:proofErr w:type="spellEnd"/>
      <w:r w:rsidRPr="00A42C5F">
        <w:rPr>
          <w:rFonts w:ascii="Times New Roman" w:hAnsi="Times New Roman" w:cs="Times New Roman"/>
          <w:b/>
          <w:sz w:val="24"/>
        </w:rPr>
        <w:t>.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 SKYRIUS</w:t>
      </w: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5.1. Pasiūlymas turi galioti ne trumpiau kaip 90 dienų nuo pasiūlymų pateikimo termino. Jei galiojimo terminas nebus nurodytas, bus laikoma, kad pasiūlymas galioja tiek, kiek nurodyta šiose pirkimo sąlygose.</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 SUSIPAŽINIMO SU CVP IS PRIEMONĖMIS GAUTAIS PASIŪLYMAIS PROCEDŪROS</w:t>
      </w:r>
    </w:p>
    <w:p w:rsidR="00F015BD" w:rsidRPr="00124CFF" w:rsidRDefault="00124CFF" w:rsidP="00124CFF">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2025</w:t>
      </w:r>
      <w:r w:rsidR="005B201A" w:rsidRPr="00124CFF">
        <w:rPr>
          <w:rFonts w:ascii="Times New Roman" w:hAnsi="Times New Roman" w:cs="Times New Roman"/>
          <w:b/>
          <w:sz w:val="24"/>
          <w:szCs w:val="24"/>
        </w:rPr>
        <w:t xml:space="preserve"> m. </w:t>
      </w:r>
      <w:proofErr w:type="spellStart"/>
      <w:proofErr w:type="gramStart"/>
      <w:r w:rsidR="007611A3">
        <w:rPr>
          <w:rFonts w:ascii="Times New Roman" w:hAnsi="Times New Roman" w:cs="Times New Roman"/>
          <w:b/>
          <w:sz w:val="24"/>
          <w:szCs w:val="24"/>
        </w:rPr>
        <w:t>spalio</w:t>
      </w:r>
      <w:proofErr w:type="spellEnd"/>
      <w:proofErr w:type="gramEnd"/>
      <w:r w:rsidR="007611A3">
        <w:rPr>
          <w:rFonts w:ascii="Times New Roman" w:hAnsi="Times New Roman" w:cs="Times New Roman"/>
          <w:b/>
          <w:sz w:val="24"/>
          <w:szCs w:val="24"/>
        </w:rPr>
        <w:t xml:space="preserve"> 31 d. 13 val. 00</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5B201A" w:rsidRPr="00124CFF">
        <w:rPr>
          <w:rFonts w:ascii="Times New Roman" w:eastAsia="Times New Roman" w:hAnsi="Times New Roman" w:cs="Times New Roman"/>
          <w:color w:val="000000"/>
          <w:sz w:val="24"/>
          <w:szCs w:val="24"/>
          <w:lang w:val="lt-LT"/>
        </w:rPr>
        <w:t xml:space="preserve">Vilniaus raj. sav. </w:t>
      </w:r>
      <w:proofErr w:type="spellStart"/>
      <w:r w:rsidR="005B201A" w:rsidRPr="00124CFF">
        <w:rPr>
          <w:rFonts w:ascii="Times New Roman" w:eastAsia="Times New Roman" w:hAnsi="Times New Roman" w:cs="Times New Roman"/>
          <w:color w:val="000000"/>
          <w:sz w:val="24"/>
          <w:szCs w:val="24"/>
          <w:lang w:val="lt-LT"/>
        </w:rPr>
        <w:t>Šatrininkų</w:t>
      </w:r>
      <w:proofErr w:type="spellEnd"/>
      <w:r w:rsidR="005B201A" w:rsidRPr="00124CFF">
        <w:rPr>
          <w:rFonts w:ascii="Times New Roman" w:eastAsia="Times New Roman" w:hAnsi="Times New Roman" w:cs="Times New Roman"/>
          <w:color w:val="000000"/>
          <w:sz w:val="24"/>
          <w:szCs w:val="24"/>
          <w:lang w:val="lt-LT"/>
        </w:rPr>
        <w:t xml:space="preserve"> sen., Rokantiškių k., Šumsko pl. 96</w:t>
      </w:r>
      <w:r w:rsidR="005B201A" w:rsidRPr="00124CFF">
        <w:rPr>
          <w:rFonts w:ascii="Times New Roman" w:eastAsia="Times New Roman" w:hAnsi="Times New Roman" w:cs="Times New Roman"/>
          <w:sz w:val="24"/>
          <w:szCs w:val="24"/>
          <w:lang w:val="lt-LT"/>
        </w:rPr>
        <w: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5B201A">
        <w:rPr>
          <w:rFonts w:ascii="Times New Roman" w:eastAsia="Times New Roman" w:hAnsi="Times New Roman" w:cs="Times New Roman"/>
          <w:sz w:val="24"/>
          <w:lang w:val="lt-LT"/>
        </w:rPr>
        <w:t>dviems</w:t>
      </w:r>
      <w:proofErr w:type="spellEnd"/>
      <w:r w:rsidRPr="005B201A">
        <w:rPr>
          <w:rFonts w:ascii="Times New Roman" w:eastAsia="Times New Roman" w:hAnsi="Times New Roman" w:cs="Times New Roman"/>
          <w:sz w:val="24"/>
          <w:lang w:val="lt-LT"/>
        </w:rPr>
        <w:t>) darbo dienoms iki pasiūlymų pateikimo termino pabaigos. Pirkimo dokumentų paaiškinimai (patikslinimai) taip pat skelbiami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8.5. Jei perkančioji organizacija paaiškinimų ar patikslinimų nepateikia per nurodytą terminą, pasiūlymų pateikimo terminas nukeliamas ne trumpesniam laikui nei tas, kiek vėluojama pateikti paaiškinimus ar </w:t>
      </w:r>
      <w:proofErr w:type="spellStart"/>
      <w:r w:rsidRPr="005B201A">
        <w:rPr>
          <w:rFonts w:ascii="Times New Roman" w:eastAsia="Times New Roman" w:hAnsi="Times New Roman" w:cs="Times New Roman"/>
          <w:sz w:val="24"/>
          <w:lang w:val="lt-LT"/>
        </w:rPr>
        <w:t>patikslinimus</w:t>
      </w:r>
      <w:proofErr w:type="spellEnd"/>
      <w:r w:rsidRPr="005B201A">
        <w:rPr>
          <w:rFonts w:ascii="Times New Roman" w:eastAsia="Times New Roman" w:hAnsi="Times New Roman" w:cs="Times New Roman"/>
          <w:sz w:val="24"/>
          <w:lang w:val="lt-LT"/>
        </w:rPr>
        <w:t>.</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10.1.1. pasiūlymas neatitinka pirkimo dokumentų 1 </w:t>
      </w:r>
      <w:r w:rsidRPr="00C32624">
        <w:rPr>
          <w:rFonts w:ascii="Times New Roman" w:eastAsia="Times New Roman" w:hAnsi="Times New Roman" w:cs="Times New Roman"/>
          <w:sz w:val="24"/>
          <w:lang w:val="lt-LT"/>
        </w:rPr>
        <w:t xml:space="preserve">priede </w:t>
      </w:r>
      <w:r w:rsidR="00ED3FE9" w:rsidRPr="00C32624">
        <w:rPr>
          <w:rFonts w:ascii="Times New Roman" w:eastAsia="Times New Roman" w:hAnsi="Times New Roman" w:cs="Times New Roman"/>
          <w:i/>
          <w:sz w:val="24"/>
          <w:lang w:val="lt-LT"/>
        </w:rPr>
        <w:t>„</w:t>
      </w:r>
      <w:r w:rsidR="00ED3FE9" w:rsidRPr="00C32624">
        <w:rPr>
          <w:rFonts w:ascii="Times New Roman" w:hAnsi="Times New Roman" w:cs="Times New Roman"/>
          <w:lang w:val="lt-LT"/>
        </w:rPr>
        <w:t>Išorinių uždangalų automobiliui</w:t>
      </w:r>
      <w:r w:rsidR="00ED3FE9" w:rsidRPr="00C32624">
        <w:rPr>
          <w:rFonts w:ascii="Times New Roman" w:eastAsia="Times New Roman" w:hAnsi="Times New Roman" w:cs="Times New Roman"/>
          <w:sz w:val="24"/>
          <w:lang w:val="lt-LT"/>
        </w:rPr>
        <w:t xml:space="preserve"> </w:t>
      </w:r>
      <w:r w:rsidRPr="00C32624">
        <w:rPr>
          <w:rFonts w:ascii="Times New Roman" w:eastAsia="Times New Roman" w:hAnsi="Times New Roman" w:cs="Times New Roman"/>
          <w:sz w:val="24"/>
          <w:lang w:val="lt-LT"/>
        </w:rPr>
        <w:t>techninė specifikacija</w:t>
      </w:r>
      <w:r w:rsidRPr="00ED3FE9">
        <w:rPr>
          <w:rFonts w:ascii="Times New Roman" w:eastAsia="Times New Roman" w:hAnsi="Times New Roman" w:cs="Times New Roman"/>
          <w:i/>
          <w:sz w:val="24"/>
          <w:lang w:val="lt-LT"/>
        </w:rPr>
        <w:t>“</w:t>
      </w:r>
      <w:r w:rsidRPr="005B201A">
        <w:rPr>
          <w:rFonts w:ascii="Times New Roman" w:eastAsia="Times New Roman" w:hAnsi="Times New Roman" w:cs="Times New Roman"/>
          <w:sz w:val="24"/>
          <w:lang w:val="lt-LT"/>
        </w:rPr>
        <w:t xml:space="preserve"> nustatytų reikalavimų;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10.1.2. pasiūlymą pateikęs tiekėjas neatitinka pirkimo sąlygų 3.1. papunktyje nustatytų reikalavimų;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10.1.3. 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10.1.5. tiekėjo, kuris pasiūlymų eilėje yra pirmas, nurodyta kaina yra per didelė ir perkančiajai organizacijai nepriimtina;</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10.1.6. tiekėjas, apie nustatytų reikalavimų atitikimą, yra pateikęs melagingą informaciją, kurią perkančioji organizacija gali įrodyti bet kokiomis teisėtomis priemonėmis;</w:t>
      </w:r>
    </w:p>
    <w:p w:rsidR="00F015BD" w:rsidRPr="008F6D6A" w:rsidRDefault="005B201A">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t>10.1.7.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7E5DBF">
        <w:rPr>
          <w:rFonts w:ascii="Times New Roman" w:eastAsia="Times New Roman" w:hAnsi="Times New Roman" w:cs="Times New Roman"/>
          <w:sz w:val="24"/>
          <w:lang w:val="lt-LT"/>
        </w:rPr>
        <w:t>ne</w:t>
      </w:r>
      <w:r w:rsidR="00DD4397">
        <w:rPr>
          <w:rFonts w:ascii="Times New Roman" w:eastAsia="Times New Roman" w:hAnsi="Times New Roman" w:cs="Times New Roman"/>
          <w:sz w:val="24"/>
          <w:lang w:val="lt-LT"/>
        </w:rPr>
        <w:t>skaidomas į dalis.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w:t>
      </w:r>
      <w:r w:rsidRPr="005B201A">
        <w:rPr>
          <w:rFonts w:ascii="Times New Roman" w:eastAsia="Times New Roman" w:hAnsi="Times New Roman" w:cs="Times New Roman"/>
          <w:sz w:val="24"/>
          <w:lang w:val="lt-LT"/>
        </w:rPr>
        <w:lastRenderedPageBreak/>
        <w:t xml:space="preserve">teikdamas pasiūlymą neįskaičiavo, nebus papildomai apmokamos. </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7.4. Perkančioji organizacija pasilieka teisę pasirinkti išsamiai vertinti tik mažiausios kainos pasiūlymą pirkimuose, kuriuose ekonomiškai naudingiausias pasiūlymas išrenkamas pagal kainą.  Tokiu atveju ji į pasiūlymų eilę įtraukia visus neatmestus pasiūlymus, o informuodama tiekėjus apie sudarytą eilę nurodo, kurie pasiūlymai nebuvo išsamiai įvertinti.</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w:t>
      </w:r>
      <w:r w:rsidRPr="005B201A">
        <w:rPr>
          <w:rFonts w:ascii="Times New Roman" w:eastAsia="Times New Roman" w:hAnsi="Times New Roman" w:cs="Times New Roman"/>
          <w:sz w:val="24"/>
          <w:lang w:val="lt-LT"/>
        </w:rPr>
        <w:lastRenderedPageBreak/>
        <w:t>pasiūlymų eilę yra pirmas po tiekėjo, atsisakiusio sudaryti pirkimo sutartį.</w:t>
      </w:r>
    </w:p>
    <w:p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12.4.2. iki perkančiosios organizacijos nurodyto laiko nepasirašo sutarties;</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jc w:val="both"/>
        <w:rPr>
          <w:rFonts w:ascii="Times New Roman" w:eastAsia="Times New Roman" w:hAnsi="Times New Roman" w:cs="Times New Roman"/>
          <w:sz w:val="24"/>
          <w:lang w:val="lt-LT"/>
        </w:rPr>
      </w:pPr>
    </w:p>
    <w:p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rsidR="00F015BD" w:rsidRPr="005B201A" w:rsidRDefault="00F015BD">
      <w:pPr>
        <w:spacing w:after="0" w:line="240" w:lineRule="auto"/>
        <w:jc w:val="center"/>
        <w:rPr>
          <w:rFonts w:ascii="Times New Roman" w:eastAsia="Times New Roman" w:hAnsi="Times New Roman" w:cs="Times New Roman"/>
          <w:b/>
          <w:sz w:val="28"/>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Default="00F015BD">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Pr="005B201A" w:rsidRDefault="00414456">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8F6D6A" w:rsidRDefault="008F6D6A" w:rsidP="008F6D6A">
      <w:pPr>
        <w:rPr>
          <w:rFonts w:ascii="Times New Roman" w:eastAsia="Times New Roman" w:hAnsi="Times New Roman" w:cs="Times New Roman"/>
          <w:sz w:val="24"/>
          <w:lang w:val="lt-LT"/>
        </w:rPr>
      </w:pPr>
    </w:p>
    <w:p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rsidR="00F015BD" w:rsidRPr="005B201A" w:rsidRDefault="00F015BD">
      <w:pPr>
        <w:spacing w:after="0" w:line="240" w:lineRule="auto"/>
        <w:jc w:val="center"/>
        <w:rPr>
          <w:rFonts w:ascii="Times New Roman" w:eastAsia="Times New Roman" w:hAnsi="Times New Roman" w:cs="Times New Roman"/>
          <w:b/>
          <w:sz w:val="24"/>
          <w:lang w:val="lt-LT"/>
        </w:rPr>
      </w:pPr>
    </w:p>
    <w:p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 xml:space="preserve">forma pildoma atskirai apie tiekėją, kiekvieną subtiekėją, </w:t>
      </w:r>
      <w:proofErr w:type="spellStart"/>
      <w:r w:rsidRPr="005B201A">
        <w:rPr>
          <w:rFonts w:ascii="Times New Roman" w:eastAsia="Times New Roman" w:hAnsi="Times New Roman" w:cs="Times New Roman"/>
          <w:i/>
          <w:sz w:val="24"/>
          <w:lang w:val="lt-LT"/>
        </w:rPr>
        <w:t>subteikėją</w:t>
      </w:r>
      <w:proofErr w:type="spellEnd"/>
      <w:r w:rsidRPr="005B201A">
        <w:rPr>
          <w:rFonts w:ascii="Times New Roman" w:eastAsia="Times New Roman" w:hAnsi="Times New Roman" w:cs="Times New Roman"/>
          <w:i/>
          <w:sz w:val="24"/>
          <w:lang w:val="lt-LT"/>
        </w:rPr>
        <w:t xml:space="preserve">, subrangovą, kitą sutartinai veikiantį ūkio subjektą, kurio </w:t>
      </w:r>
      <w:proofErr w:type="spellStart"/>
      <w:r w:rsidRPr="005B201A">
        <w:rPr>
          <w:rFonts w:ascii="Times New Roman" w:eastAsia="Times New Roman" w:hAnsi="Times New Roman" w:cs="Times New Roman"/>
          <w:i/>
          <w:sz w:val="24"/>
          <w:lang w:val="lt-LT"/>
        </w:rPr>
        <w:t>pajėgumais</w:t>
      </w:r>
      <w:proofErr w:type="spellEnd"/>
      <w:r w:rsidRPr="005B201A">
        <w:rPr>
          <w:rFonts w:ascii="Times New Roman" w:eastAsia="Times New Roman" w:hAnsi="Times New Roman" w:cs="Times New Roman"/>
          <w:i/>
          <w:sz w:val="24"/>
          <w:lang w:val="lt-LT"/>
        </w:rPr>
        <w:t xml:space="preserve"> remiasi, gamintoją ar juos kontroliuojantį asmenį</w:t>
      </w:r>
      <w:r w:rsidRPr="005B201A">
        <w:rPr>
          <w:rFonts w:ascii="Times New Roman" w:eastAsia="Times New Roman" w:hAnsi="Times New Roman" w:cs="Times New Roman"/>
          <w:sz w:val="24"/>
          <w:lang w:val="lt-LT"/>
        </w:rPr>
        <w:t>)</w:t>
      </w:r>
    </w:p>
    <w:p w:rsidR="00F015BD" w:rsidRPr="005B201A" w:rsidRDefault="00F015BD">
      <w:pPr>
        <w:spacing w:after="0" w:line="240" w:lineRule="auto"/>
        <w:jc w:val="center"/>
        <w:rPr>
          <w:rFonts w:ascii="Times New Roman" w:eastAsia="Times New Roman" w:hAnsi="Times New Roman" w:cs="Times New Roman"/>
          <w:sz w:val="24"/>
          <w:lang w:val="lt-LT"/>
        </w:rPr>
      </w:pP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6"/>
        <w:gridCol w:w="6605"/>
        <w:gridCol w:w="2962"/>
      </w:tblGrid>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pavadinimas</w:t>
            </w:r>
          </w:p>
          <w:p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kodas (arba fizinio asmens kodas)</w:t>
            </w:r>
          </w:p>
          <w:p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Vietos, kurioje faktiškai vykdoma veikla, adresas</w:t>
            </w:r>
          </w:p>
          <w:p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Pagrindinė informacija apie siūlomą prekę (pavadinimas, modelis, ypatybės, gamintojas ir kilmės šalis), paslaugas ar darbus (trumpas paslaugų ar darbų apibūdinimas, paslaugų teikimo ar darbų atlikimo vieta)</w:t>
            </w:r>
          </w:p>
          <w:p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rsidR="008361B2" w:rsidRPr="008361B2" w:rsidRDefault="008361B2" w:rsidP="008361B2">
      <w:pPr>
        <w:spacing w:after="200" w:line="276" w:lineRule="auto"/>
        <w:ind w:left="709"/>
        <w:jc w:val="both"/>
        <w:rPr>
          <w:rFonts w:ascii="Calibri" w:eastAsia="Calibri" w:hAnsi="Calibri" w:cs="Calibri"/>
          <w:b/>
          <w:sz w:val="28"/>
          <w:lang w:val="lt-LT"/>
        </w:rPr>
      </w:pPr>
    </w:p>
    <w:p w:rsidR="008361B2" w:rsidRDefault="008361B2">
      <w:pPr>
        <w:spacing w:after="200" w:line="276" w:lineRule="auto"/>
        <w:ind w:left="709"/>
        <w:jc w:val="both"/>
        <w:rPr>
          <w:rFonts w:ascii="Calibri" w:eastAsia="Calibri" w:hAnsi="Calibri" w:cs="Calibri"/>
          <w:b/>
          <w:sz w:val="24"/>
          <w:lang w:val="lt-LT"/>
        </w:rPr>
      </w:pPr>
    </w:p>
    <w:p w:rsidR="008361B2" w:rsidRDefault="008361B2" w:rsidP="008361B2">
      <w:pPr>
        <w:spacing w:after="200" w:line="276" w:lineRule="auto"/>
        <w:jc w:val="both"/>
        <w:rPr>
          <w:rFonts w:ascii="Calibri" w:eastAsia="Calibri" w:hAnsi="Calibri" w:cs="Calibri"/>
          <w:b/>
          <w:sz w:val="24"/>
          <w:lang w:val="lt-LT"/>
        </w:rPr>
      </w:pPr>
    </w:p>
    <w:p w:rsidR="00F015BD" w:rsidRPr="005B201A" w:rsidRDefault="005B201A" w:rsidP="008361B2">
      <w:pPr>
        <w:spacing w:after="200" w:line="276" w:lineRule="auto"/>
        <w:ind w:left="709"/>
        <w:jc w:val="both"/>
        <w:rPr>
          <w:rFonts w:ascii="Calibri" w:eastAsia="Calibri" w:hAnsi="Calibri" w:cs="Calibri"/>
          <w:b/>
          <w:sz w:val="24"/>
          <w:lang w:val="lt-LT"/>
        </w:rPr>
      </w:pPr>
      <w:r w:rsidRPr="005B201A">
        <w:rPr>
          <w:rFonts w:ascii="Calibri" w:eastAsia="Calibri" w:hAnsi="Calibri" w:cs="Calibri"/>
          <w:b/>
          <w:sz w:val="24"/>
          <w:lang w:val="lt-LT"/>
        </w:rPr>
        <w:lastRenderedPageBreak/>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2.1.1. Jeigu tiekėjas, jo subtiekėjas, </w:t>
            </w:r>
            <w:proofErr w:type="spellStart"/>
            <w:r w:rsidRPr="005B201A">
              <w:rPr>
                <w:rFonts w:ascii="Times New Roman" w:eastAsia="Times New Roman" w:hAnsi="Times New Roman" w:cs="Times New Roman"/>
                <w:lang w:val="lt-LT"/>
              </w:rPr>
              <w:t>subteikėjas</w:t>
            </w:r>
            <w:proofErr w:type="spellEnd"/>
            <w:r w:rsidRPr="005B201A">
              <w:rPr>
                <w:rFonts w:ascii="Times New Roman" w:eastAsia="Times New Roman" w:hAnsi="Times New Roman" w:cs="Times New Roman"/>
                <w:lang w:val="lt-LT"/>
              </w:rPr>
              <w:t xml:space="preserve">, subrangovas, ūkio subjektas, kurio </w:t>
            </w:r>
            <w:proofErr w:type="spellStart"/>
            <w:r w:rsidRPr="005B201A">
              <w:rPr>
                <w:rFonts w:ascii="Times New Roman" w:eastAsia="Times New Roman" w:hAnsi="Times New Roman" w:cs="Times New Roman"/>
                <w:lang w:val="lt-LT"/>
              </w:rPr>
              <w:t>pajėgumais</w:t>
            </w:r>
            <w:proofErr w:type="spellEnd"/>
            <w:r w:rsidRPr="005B201A">
              <w:rPr>
                <w:rFonts w:ascii="Times New Roman" w:eastAsia="Times New Roman" w:hAnsi="Times New Roman" w:cs="Times New Roman"/>
                <w:lang w:val="lt-LT"/>
              </w:rPr>
              <w:t xml:space="preserve">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juridinis asmuo</w:t>
            </w:r>
            <w:r w:rsidRPr="005B201A">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2.1.2. Jeigu tiekėjas, jo subtiekėjas, </w:t>
            </w:r>
            <w:proofErr w:type="spellStart"/>
            <w:r w:rsidRPr="005B201A">
              <w:rPr>
                <w:rFonts w:ascii="Times New Roman" w:eastAsia="Times New Roman" w:hAnsi="Times New Roman" w:cs="Times New Roman"/>
                <w:lang w:val="lt-LT"/>
              </w:rPr>
              <w:t>subteikėjas</w:t>
            </w:r>
            <w:proofErr w:type="spellEnd"/>
            <w:r w:rsidRPr="005B201A">
              <w:rPr>
                <w:rFonts w:ascii="Times New Roman" w:eastAsia="Times New Roman" w:hAnsi="Times New Roman" w:cs="Times New Roman"/>
                <w:lang w:val="lt-LT"/>
              </w:rPr>
              <w:t xml:space="preserve">, subrangovas, ūkio subjektas, kurio </w:t>
            </w:r>
            <w:proofErr w:type="spellStart"/>
            <w:r w:rsidRPr="005B201A">
              <w:rPr>
                <w:rFonts w:ascii="Times New Roman" w:eastAsia="Times New Roman" w:hAnsi="Times New Roman" w:cs="Times New Roman"/>
                <w:lang w:val="lt-LT"/>
              </w:rPr>
              <w:t>pajėgumais</w:t>
            </w:r>
            <w:proofErr w:type="spellEnd"/>
            <w:r w:rsidRPr="005B201A">
              <w:rPr>
                <w:rFonts w:ascii="Times New Roman" w:eastAsia="Times New Roman" w:hAnsi="Times New Roman" w:cs="Times New Roman"/>
                <w:lang w:val="lt-LT"/>
              </w:rPr>
              <w:t xml:space="preserve">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fizinis asmuo</w:t>
            </w:r>
            <w:r w:rsidRPr="005B201A">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bl>
    <w:p w:rsidR="00F015BD" w:rsidRPr="00C32624" w:rsidRDefault="00F015BD" w:rsidP="008361B2">
      <w:pPr>
        <w:spacing w:after="0" w:line="276" w:lineRule="auto"/>
        <w:jc w:val="both"/>
        <w:rPr>
          <w:rFonts w:ascii="Times New Roman" w:eastAsia="Calibri" w:hAnsi="Times New Roman" w:cs="Times New Roman"/>
          <w:sz w:val="24"/>
          <w:lang w:val="lt-LT"/>
        </w:rPr>
      </w:pPr>
    </w:p>
    <w:p w:rsidR="00F015BD" w:rsidRPr="00C32624" w:rsidRDefault="005B201A" w:rsidP="008361B2">
      <w:pPr>
        <w:spacing w:after="0" w:line="276" w:lineRule="auto"/>
        <w:jc w:val="both"/>
        <w:rPr>
          <w:rFonts w:ascii="Times New Roman" w:eastAsia="Calibri" w:hAnsi="Times New Roman" w:cs="Times New Roman"/>
          <w:color w:val="000000"/>
          <w:sz w:val="24"/>
          <w:lang w:val="lt-LT"/>
        </w:rPr>
      </w:pPr>
      <w:r w:rsidRPr="00C32624">
        <w:rPr>
          <w:rFonts w:ascii="Times New Roman" w:eastAsia="Calibri" w:hAnsi="Times New Roman" w:cs="Times New Roman"/>
          <w:b/>
          <w:sz w:val="24"/>
          <w:lang w:val="lt-LT"/>
        </w:rPr>
        <w:t>PASTABA.</w:t>
      </w:r>
      <w:r w:rsidRPr="00C32624">
        <w:rPr>
          <w:rFonts w:ascii="Times New Roman" w:eastAsia="Calibri" w:hAnsi="Times New Roman" w:cs="Times New Roman"/>
          <w:sz w:val="24"/>
          <w:lang w:val="lt-LT"/>
        </w:rPr>
        <w:t xml:space="preserve"> </w:t>
      </w:r>
      <w:r w:rsidRPr="00C32624">
        <w:rPr>
          <w:rFonts w:ascii="Times New Roman" w:eastAsia="Calibri" w:hAnsi="Times New Roman" w:cs="Times New Roman"/>
          <w:i/>
          <w:sz w:val="24"/>
          <w:szCs w:val="24"/>
          <w:lang w:val="lt-LT"/>
        </w:rPr>
        <w:t xml:space="preserve">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w:t>
      </w:r>
      <w:r w:rsidRPr="00C32624">
        <w:rPr>
          <w:rFonts w:ascii="Times New Roman" w:eastAsia="Calibri" w:hAnsi="Times New Roman" w:cs="Times New Roman"/>
          <w:i/>
          <w:sz w:val="24"/>
          <w:szCs w:val="24"/>
          <w:lang w:val="lt-LT"/>
        </w:rPr>
        <w:lastRenderedPageBreak/>
        <w:t>sistemoje pateikiama Asmens duomenų tvarkymo ir duomenų subjektų teisių įgyvendinimo krašto apsaugos sistemoje</w:t>
      </w:r>
      <w:r w:rsidRPr="00C32624">
        <w:rPr>
          <w:rFonts w:ascii="Times New Roman" w:eastAsia="Calibri" w:hAnsi="Times New Roman" w:cs="Times New Roman"/>
          <w:i/>
          <w:color w:val="000000"/>
          <w:sz w:val="24"/>
          <w:szCs w:val="24"/>
          <w:lang w:val="lt-LT"/>
        </w:rPr>
        <w:t xml:space="preserve"> taisyklėse, </w:t>
      </w:r>
      <w:r w:rsidRPr="00C32624">
        <w:rPr>
          <w:rFonts w:ascii="Times New Roman" w:eastAsia="Calibri" w:hAnsi="Times New Roman" w:cs="Times New Roman"/>
          <w:i/>
          <w:sz w:val="24"/>
          <w:szCs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C32624">
        <w:rPr>
          <w:rFonts w:ascii="Times New Roman" w:eastAsia="Calibri" w:hAnsi="Times New Roman" w:cs="Times New Roman"/>
          <w:i/>
          <w:color w:val="000000"/>
          <w:sz w:val="24"/>
          <w:szCs w:val="24"/>
          <w:lang w:val="lt-LT"/>
        </w:rPr>
        <w:t>ir Krašto apsaugos ministerijos interneto svetainėje </w:t>
      </w:r>
      <w:hyperlink r:id="rId6">
        <w:r w:rsidRPr="00C32624">
          <w:rPr>
            <w:rFonts w:ascii="Times New Roman" w:eastAsia="Calibri" w:hAnsi="Times New Roman" w:cs="Times New Roman"/>
            <w:i/>
            <w:sz w:val="24"/>
            <w:szCs w:val="24"/>
            <w:lang w:val="lt-LT"/>
          </w:rPr>
          <w:t>www.kam.lt</w:t>
        </w:r>
      </w:hyperlink>
      <w:r w:rsidRPr="00C32624">
        <w:rPr>
          <w:rFonts w:ascii="Times New Roman" w:eastAsia="Calibri" w:hAnsi="Times New Roman" w:cs="Times New Roman"/>
          <w:i/>
          <w:sz w:val="24"/>
          <w:szCs w:val="24"/>
          <w:lang w:val="lt-LT"/>
        </w:rPr>
        <w:t>,</w:t>
      </w:r>
      <w:r w:rsidRPr="00C32624">
        <w:rPr>
          <w:rFonts w:ascii="Times New Roman" w:eastAsia="Calibri" w:hAnsi="Times New Roman" w:cs="Times New Roman"/>
          <w:i/>
          <w:color w:val="0000FF"/>
          <w:sz w:val="24"/>
          <w:szCs w:val="24"/>
          <w:lang w:val="lt-LT"/>
        </w:rPr>
        <w:t xml:space="preserve"> </w:t>
      </w:r>
      <w:r w:rsidRPr="00C32624">
        <w:rPr>
          <w:rFonts w:ascii="Times New Roman" w:eastAsia="Calibri" w:hAnsi="Times New Roman" w:cs="Times New Roman"/>
          <w:i/>
          <w:sz w:val="24"/>
          <w:szCs w:val="24"/>
          <w:lang w:val="lt-LT"/>
        </w:rPr>
        <w:t>skiltyje ,,Asmens duomenų tvarkymas“</w:t>
      </w:r>
      <w:r w:rsidRPr="00C32624">
        <w:rPr>
          <w:rFonts w:ascii="Times New Roman" w:eastAsia="Calibri" w:hAnsi="Times New Roman" w:cs="Times New Roman"/>
          <w:i/>
          <w:color w:val="000000"/>
          <w:sz w:val="24"/>
          <w:szCs w:val="24"/>
          <w:lang w:val="lt-LT"/>
        </w:rPr>
        <w:t>. Priede nurodyti dokumentai (ir juose esantys asmens duomenys) saugomi Lietuvos vyriausiojo archyvaro nustatyta tvarka ir terminais pagal įstaigos dokumentacijos planą.</w:t>
      </w:r>
    </w:p>
    <w:sectPr w:rsidR="00F015BD" w:rsidRPr="00C3262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useFELayout/>
    <w:compatSetting w:name="compatibilityMode" w:uri="http://schemas.microsoft.com/office/word" w:val="12"/>
  </w:compat>
  <w:rsids>
    <w:rsidRoot w:val="00F015BD"/>
    <w:rsid w:val="00017F19"/>
    <w:rsid w:val="000B0960"/>
    <w:rsid w:val="000B22A9"/>
    <w:rsid w:val="000B6B32"/>
    <w:rsid w:val="00124CFF"/>
    <w:rsid w:val="00136E1E"/>
    <w:rsid w:val="00226C32"/>
    <w:rsid w:val="00336907"/>
    <w:rsid w:val="003D0413"/>
    <w:rsid w:val="00414456"/>
    <w:rsid w:val="00574996"/>
    <w:rsid w:val="005B201A"/>
    <w:rsid w:val="00632B19"/>
    <w:rsid w:val="006504B4"/>
    <w:rsid w:val="006D3594"/>
    <w:rsid w:val="0071084E"/>
    <w:rsid w:val="00725A4F"/>
    <w:rsid w:val="007611A3"/>
    <w:rsid w:val="007A3530"/>
    <w:rsid w:val="007E5DBF"/>
    <w:rsid w:val="008361B2"/>
    <w:rsid w:val="00862C36"/>
    <w:rsid w:val="008A1879"/>
    <w:rsid w:val="008D14E6"/>
    <w:rsid w:val="008F6D6A"/>
    <w:rsid w:val="009418E8"/>
    <w:rsid w:val="00943911"/>
    <w:rsid w:val="009D6F9D"/>
    <w:rsid w:val="00A42C5F"/>
    <w:rsid w:val="00A82E15"/>
    <w:rsid w:val="00AC41DB"/>
    <w:rsid w:val="00C16945"/>
    <w:rsid w:val="00C32624"/>
    <w:rsid w:val="00C413C6"/>
    <w:rsid w:val="00C4716E"/>
    <w:rsid w:val="00C52934"/>
    <w:rsid w:val="00D20119"/>
    <w:rsid w:val="00DD30C7"/>
    <w:rsid w:val="00DD4397"/>
    <w:rsid w:val="00ED3FE9"/>
    <w:rsid w:val="00F015BD"/>
    <w:rsid w:val="00F44B8E"/>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845D"/>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m.lt/" TargetMode="External"/><Relationship Id="rId5" Type="http://schemas.openxmlformats.org/officeDocument/2006/relationships/hyperlink" Target="/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13</Pages>
  <Words>18106</Words>
  <Characters>10321</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Marius Simkunas</cp:lastModifiedBy>
  <cp:revision>42</cp:revision>
  <dcterms:created xsi:type="dcterms:W3CDTF">2024-06-18T10:48:00Z</dcterms:created>
  <dcterms:modified xsi:type="dcterms:W3CDTF">2025-10-27T08:49:00Z</dcterms:modified>
</cp:coreProperties>
</file>