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1F0DF463" w:rsidR="00B767F3" w:rsidRPr="002C4ACA" w:rsidRDefault="006C2E63" w:rsidP="006C2E63">
            <w:pPr>
              <w:rPr>
                <w:b/>
                <w:bCs/>
                <w:smallCaps/>
                <w:sz w:val="21"/>
                <w:szCs w:val="21"/>
              </w:rPr>
            </w:pPr>
            <w:r w:rsidRPr="00634F7C">
              <w:rPr>
                <w:b/>
                <w:color w:val="000000"/>
              </w:rPr>
              <w:t>VAISTAI (VARDINIAI)</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 xml:space="preserve">AB </w:t>
            </w:r>
            <w:proofErr w:type="spellStart"/>
            <w:r w:rsidRPr="00020B3E">
              <w:rPr>
                <w:rFonts w:eastAsia="Calibri"/>
                <w:sz w:val="21"/>
                <w:szCs w:val="21"/>
              </w:rPr>
              <w:t>Luminor</w:t>
            </w:r>
            <w:proofErr w:type="spellEnd"/>
            <w:r w:rsidRPr="00020B3E">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DC03E3"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w:t>
            </w:r>
            <w:proofErr w:type="spellStart"/>
            <w:r w:rsidRPr="002C4ACA">
              <w:rPr>
                <w:bCs/>
                <w:kern w:val="2"/>
                <w:sz w:val="21"/>
                <w:szCs w:val="21"/>
              </w:rPr>
              <w:t>Sabis</w:t>
            </w:r>
            <w:proofErr w:type="spellEnd"/>
            <w:r w:rsidRPr="002C4ACA">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0DF37F7C"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6C2E63" w:rsidRPr="00634F7C">
              <w:rPr>
                <w:b/>
                <w:color w:val="000000"/>
              </w:rPr>
              <w:t>VAISTAI (VARDINIAI)</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B9B1FB" w14:textId="4813DCA0" w:rsidR="006C2E63" w:rsidRPr="00634F7C" w:rsidRDefault="007E5A88" w:rsidP="006C2E63">
            <w:pPr>
              <w:jc w:val="center"/>
              <w:rPr>
                <w:b/>
                <w:bCs/>
                <w:smallCaps/>
              </w:rPr>
            </w:pPr>
            <w:r w:rsidRPr="00267D3C">
              <w:rPr>
                <w:b/>
              </w:rPr>
              <w:t>MAŽOS VERTĖS PIRKIMAS</w:t>
            </w:r>
            <w:r w:rsidR="006C2E63">
              <w:rPr>
                <w:b/>
              </w:rPr>
              <w:t xml:space="preserve"> </w:t>
            </w:r>
            <w:r w:rsidR="006C2E63" w:rsidRPr="00634F7C">
              <w:rPr>
                <w:b/>
              </w:rPr>
              <w:t>„</w:t>
            </w:r>
            <w:r w:rsidR="006C2E63" w:rsidRPr="00634F7C">
              <w:rPr>
                <w:b/>
                <w:color w:val="000000"/>
              </w:rPr>
              <w:t>VAISTAI (VARDINIAI)</w:t>
            </w:r>
            <w:r w:rsidR="006C2E63" w:rsidRPr="00634F7C">
              <w:rPr>
                <w:b/>
                <w:bCs/>
                <w:smallCaps/>
              </w:rPr>
              <w:t>“</w:t>
            </w:r>
          </w:p>
          <w:p w14:paraId="1E986A9B" w14:textId="5FB1356C" w:rsidR="00295B83" w:rsidRPr="006C2E63" w:rsidRDefault="006C2E63" w:rsidP="006C2E63">
            <w:pPr>
              <w:jc w:val="center"/>
              <w:rPr>
                <w:b/>
                <w:bCs/>
                <w:caps/>
                <w:smallCaps/>
              </w:rPr>
            </w:pPr>
            <w:r w:rsidRPr="00634F7C">
              <w:rPr>
                <w:b/>
                <w:bCs/>
                <w:smallCaps/>
              </w:rPr>
              <w:t>PIRKIMO NUMERIS CVP IS  5124316</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proofErr w:type="spellStart"/>
            <w:r w:rsidR="00B92A00"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w:t>
            </w:r>
            <w:proofErr w:type="spellStart"/>
            <w:r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7BFEA6F6"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(didėti</w:t>
            </w:r>
            <w:r w:rsidRPr="002C4ACA">
              <w:rPr>
                <w:color w:val="000000"/>
                <w:kern w:val="2"/>
                <w:sz w:val="21"/>
                <w:szCs w:val="21"/>
              </w:rPr>
              <w:t xml:space="preserve"> ar 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DC03E3"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w:t>
            </w:r>
            <w:proofErr w:type="spellStart"/>
            <w:r w:rsidR="00295B83" w:rsidRPr="002C4ACA">
              <w:rPr>
                <w:kern w:val="2"/>
                <w:sz w:val="21"/>
                <w:szCs w:val="21"/>
              </w:rPr>
              <w:t>Eur</w:t>
            </w:r>
            <w:proofErr w:type="spellEnd"/>
            <w:r w:rsidR="00295B83" w:rsidRPr="002C4ACA">
              <w:rPr>
                <w:kern w:val="2"/>
                <w:sz w:val="21"/>
                <w:szCs w:val="21"/>
              </w:rPr>
              <w:t xml:space="preserve">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w:t>
            </w:r>
            <w:proofErr w:type="spellStart"/>
            <w:r w:rsidRPr="002C4ACA">
              <w:rPr>
                <w:kern w:val="2"/>
                <w:sz w:val="21"/>
                <w:szCs w:val="21"/>
              </w:rPr>
              <w:t>Eur</w:t>
            </w:r>
            <w:proofErr w:type="spellEnd"/>
            <w:r w:rsidRPr="002C4ACA">
              <w:rPr>
                <w:kern w:val="2"/>
                <w:sz w:val="21"/>
                <w:szCs w:val="21"/>
              </w:rPr>
              <w:t xml:space="preserve">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proofErr w:type="spellStart"/>
            <w:r w:rsidRPr="002C4ACA">
              <w:rPr>
                <w:kern w:val="2"/>
                <w:sz w:val="21"/>
                <w:szCs w:val="21"/>
              </w:rPr>
              <w:t>Ind</w:t>
            </w:r>
            <w:r w:rsidRPr="002C4ACA">
              <w:rPr>
                <w:kern w:val="2"/>
                <w:sz w:val="21"/>
                <w:szCs w:val="21"/>
                <w:vertAlign w:val="subscript"/>
              </w:rPr>
              <w:t>naujausias</w:t>
            </w:r>
            <w:proofErr w:type="spellEnd"/>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proofErr w:type="spellStart"/>
            <w:r w:rsidRPr="002C4ACA">
              <w:rPr>
                <w:kern w:val="2"/>
                <w:sz w:val="21"/>
                <w:szCs w:val="21"/>
              </w:rPr>
              <w:t>Ind</w:t>
            </w:r>
            <w:r w:rsidRPr="002C4ACA">
              <w:rPr>
                <w:kern w:val="2"/>
                <w:sz w:val="21"/>
                <w:szCs w:val="21"/>
                <w:vertAlign w:val="subscript"/>
              </w:rPr>
              <w:t>pradžia</w:t>
            </w:r>
            <w:proofErr w:type="spellEnd"/>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 xml:space="preserve">nesilaikymo, Tiekėjui bus taikomos baudos: 500,00 </w:t>
            </w:r>
            <w:proofErr w:type="spellStart"/>
            <w:r w:rsidRPr="002C4ACA">
              <w:rPr>
                <w:color w:val="333333"/>
                <w:sz w:val="21"/>
                <w:szCs w:val="21"/>
              </w:rPr>
              <w:t>Eur</w:t>
            </w:r>
            <w:proofErr w:type="spellEnd"/>
            <w:r w:rsidRPr="002C4ACA">
              <w:rPr>
                <w:color w:val="333333"/>
                <w:sz w:val="21"/>
                <w:szCs w:val="21"/>
              </w:rPr>
              <w:t xml:space="preserve">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 xml:space="preserve">9.7. Tiekėjui taikomos netesybos dėl pirkimo dokumentuose nustatytų Kokybinių kriterijų </w:t>
            </w:r>
            <w:proofErr w:type="spellStart"/>
            <w:r w:rsidRPr="002C4ACA">
              <w:rPr>
                <w:b/>
                <w:bCs/>
                <w:kern w:val="2"/>
                <w:sz w:val="21"/>
                <w:szCs w:val="21"/>
              </w:rPr>
              <w:t>nepasiekimo</w:t>
            </w:r>
            <w:proofErr w:type="spellEnd"/>
            <w:r w:rsidRPr="002C4ACA">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76719538" w:rsidR="00295B83" w:rsidRPr="002C4ACA" w:rsidRDefault="00295B83" w:rsidP="006C2E63">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6C2E63">
              <w:rPr>
                <w:kern w:val="2"/>
                <w:sz w:val="21"/>
                <w:szCs w:val="21"/>
              </w:rPr>
              <w:t>3</w:t>
            </w:r>
            <w:r w:rsidRPr="002C4ACA">
              <w:rPr>
                <w:kern w:val="2"/>
                <w:sz w:val="21"/>
                <w:szCs w:val="21"/>
              </w:rPr>
              <w:t xml:space="preserve"> (</w:t>
            </w:r>
            <w:r w:rsidR="006C2E63">
              <w:rPr>
                <w:kern w:val="2"/>
                <w:sz w:val="21"/>
                <w:szCs w:val="21"/>
              </w:rPr>
              <w:t>trys)</w:t>
            </w:r>
            <w:r w:rsidR="004812D3">
              <w:rPr>
                <w:kern w:val="2"/>
                <w:sz w:val="21"/>
                <w:szCs w:val="21"/>
              </w:rPr>
              <w:t xml:space="preserve"> mėnesi</w:t>
            </w:r>
            <w:r w:rsidR="006C2E63">
              <w:rPr>
                <w:kern w:val="2"/>
                <w:sz w:val="21"/>
                <w:szCs w:val="21"/>
              </w:rPr>
              <w:t>us</w:t>
            </w:r>
            <w:bookmarkStart w:id="0" w:name="_GoBack"/>
            <w:bookmarkEnd w:id="0"/>
            <w:r w:rsidRPr="002C4ACA">
              <w:rPr>
                <w:kern w:val="2"/>
                <w:sz w:val="21"/>
                <w:szCs w:val="21"/>
              </w:rPr>
              <w:t xml:space="preserve"> (įskaičiuotas ir atsiskaitymo terminas)</w:t>
            </w:r>
          </w:p>
        </w:tc>
      </w:tr>
      <w:tr w:rsidR="00295B83" w:rsidRPr="002C4ACA" w14:paraId="6568EF2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35BD4A80" w:rsidR="00295B83" w:rsidRPr="002C4ACA" w:rsidRDefault="004812D3" w:rsidP="00F82405">
            <w:pPr>
              <w:jc w:val="both"/>
              <w:rPr>
                <w:rFonts w:eastAsia="Calibri"/>
                <w:sz w:val="21"/>
                <w:szCs w:val="21"/>
              </w:rPr>
            </w:pPr>
            <w:r>
              <w:rPr>
                <w:kern w:val="2"/>
                <w:sz w:val="21"/>
                <w:szCs w:val="21"/>
              </w:rPr>
              <w:t xml:space="preserve">Netaikoma </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CC128" w14:textId="77777777" w:rsidR="00DC03E3" w:rsidRDefault="00DC03E3">
      <w:r>
        <w:separator/>
      </w:r>
    </w:p>
  </w:endnote>
  <w:endnote w:type="continuationSeparator" w:id="0">
    <w:p w14:paraId="14C160FA" w14:textId="77777777" w:rsidR="00DC03E3" w:rsidRDefault="00D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5FE9" w14:textId="77777777" w:rsidR="00DC03E3" w:rsidRDefault="00DC03E3">
      <w:r>
        <w:separator/>
      </w:r>
    </w:p>
  </w:footnote>
  <w:footnote w:type="continuationSeparator" w:id="0">
    <w:p w14:paraId="6FDE1BEF" w14:textId="77777777" w:rsidR="00DC03E3" w:rsidRDefault="00DC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83E52"/>
    <w:rsid w:val="00295B83"/>
    <w:rsid w:val="002B2D7E"/>
    <w:rsid w:val="002C4ACA"/>
    <w:rsid w:val="002F0B5F"/>
    <w:rsid w:val="003117B3"/>
    <w:rsid w:val="00317AD2"/>
    <w:rsid w:val="003416AD"/>
    <w:rsid w:val="003675F7"/>
    <w:rsid w:val="003B2818"/>
    <w:rsid w:val="003D0AFE"/>
    <w:rsid w:val="003E5D1D"/>
    <w:rsid w:val="004812D3"/>
    <w:rsid w:val="004A4E1A"/>
    <w:rsid w:val="004A64DA"/>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935A5"/>
    <w:rsid w:val="008A16F0"/>
    <w:rsid w:val="008B5036"/>
    <w:rsid w:val="00911E2C"/>
    <w:rsid w:val="009E7AD3"/>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C03E3"/>
    <w:rsid w:val="00DD7479"/>
    <w:rsid w:val="00E007E0"/>
    <w:rsid w:val="00E22D77"/>
    <w:rsid w:val="00EC72B6"/>
    <w:rsid w:val="00F266EB"/>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65628</Words>
  <Characters>37408</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