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A4D5" w14:textId="77777777" w:rsidR="00E3730B" w:rsidRPr="0040107B" w:rsidRDefault="005408A8" w:rsidP="003F6F25">
      <w:pPr>
        <w:jc w:val="right"/>
        <w:rPr>
          <w:rFonts w:ascii="Cambria" w:hAnsi="Cambria"/>
          <w:sz w:val="22"/>
          <w:szCs w:val="22"/>
        </w:rPr>
      </w:pPr>
      <w:r w:rsidRPr="0040107B">
        <w:rPr>
          <w:rFonts w:ascii="Cambria" w:hAnsi="Cambria"/>
          <w:sz w:val="22"/>
          <w:szCs w:val="22"/>
        </w:rPr>
        <w:t>TSD-</w:t>
      </w:r>
      <w:r w:rsidR="0066226F" w:rsidRPr="0040107B">
        <w:rPr>
          <w:rFonts w:ascii="Cambria" w:hAnsi="Cambria"/>
          <w:sz w:val="22"/>
          <w:szCs w:val="22"/>
        </w:rPr>
        <w:t>914</w:t>
      </w:r>
    </w:p>
    <w:p w14:paraId="61D2A4D6" w14:textId="77777777" w:rsidR="003F6F25" w:rsidRPr="00144723" w:rsidRDefault="003F6F25" w:rsidP="003F6F25">
      <w:pPr>
        <w:rPr>
          <w:sz w:val="22"/>
          <w:szCs w:val="22"/>
        </w:rPr>
      </w:pPr>
    </w:p>
    <w:p w14:paraId="61D2A4D7" w14:textId="77777777" w:rsidR="0075659D" w:rsidRPr="0040107B" w:rsidRDefault="00144723" w:rsidP="00144723">
      <w:pPr>
        <w:jc w:val="center"/>
        <w:rPr>
          <w:rFonts w:asciiTheme="majorHAnsi" w:hAnsiTheme="majorHAnsi"/>
          <w:b/>
          <w:sz w:val="22"/>
          <w:szCs w:val="22"/>
        </w:rPr>
      </w:pPr>
      <w:r w:rsidRPr="0040107B">
        <w:rPr>
          <w:rFonts w:asciiTheme="majorHAnsi" w:hAnsiTheme="majorHAnsi"/>
          <w:b/>
          <w:sz w:val="22"/>
          <w:szCs w:val="22"/>
        </w:rPr>
        <w:t>AVARINIAI</w:t>
      </w:r>
      <w:r w:rsidR="00F82889" w:rsidRPr="0040107B">
        <w:rPr>
          <w:rFonts w:asciiTheme="majorHAnsi" w:hAnsiTheme="majorHAnsi"/>
          <w:b/>
          <w:sz w:val="22"/>
          <w:szCs w:val="22"/>
        </w:rPr>
        <w:t xml:space="preserve"> IR APSAUGOS </w:t>
      </w:r>
      <w:r w:rsidRPr="0040107B">
        <w:rPr>
          <w:rFonts w:asciiTheme="majorHAnsi" w:hAnsiTheme="majorHAnsi"/>
          <w:b/>
          <w:sz w:val="22"/>
          <w:szCs w:val="22"/>
        </w:rPr>
        <w:t>ĮRENGINIAI</w:t>
      </w:r>
      <w:r w:rsidR="00915BA1" w:rsidRPr="0040107B">
        <w:rPr>
          <w:rFonts w:asciiTheme="majorHAnsi" w:hAnsiTheme="majorHAnsi"/>
          <w:b/>
          <w:sz w:val="22"/>
          <w:szCs w:val="22"/>
        </w:rPr>
        <w:t xml:space="preserve"> </w:t>
      </w:r>
      <w:r w:rsidR="003F6F25" w:rsidRPr="0040107B">
        <w:rPr>
          <w:rFonts w:asciiTheme="majorHAnsi" w:hAnsiTheme="majorHAnsi"/>
          <w:b/>
          <w:sz w:val="22"/>
          <w:szCs w:val="22"/>
        </w:rPr>
        <w:t>(</w:t>
      </w:r>
      <w:r w:rsidRPr="0040107B">
        <w:rPr>
          <w:rFonts w:asciiTheme="majorHAnsi" w:hAnsiTheme="majorHAnsi"/>
          <w:b/>
          <w:sz w:val="22"/>
          <w:szCs w:val="22"/>
        </w:rPr>
        <w:t>PALATINĖ SIGNALIZACIJA</w:t>
      </w:r>
      <w:r w:rsidR="003F6F25" w:rsidRPr="0040107B">
        <w:rPr>
          <w:rFonts w:asciiTheme="majorHAnsi" w:hAnsiTheme="majorHAnsi"/>
          <w:b/>
          <w:sz w:val="22"/>
          <w:szCs w:val="22"/>
        </w:rPr>
        <w:t xml:space="preserve">) </w:t>
      </w:r>
    </w:p>
    <w:p w14:paraId="61D2A4D8" w14:textId="77777777" w:rsidR="006F4C45" w:rsidRPr="0040107B" w:rsidRDefault="003F6F25" w:rsidP="00915BA1">
      <w:pPr>
        <w:jc w:val="center"/>
        <w:rPr>
          <w:rFonts w:asciiTheme="majorHAnsi" w:hAnsiTheme="majorHAnsi"/>
          <w:b/>
          <w:sz w:val="22"/>
          <w:szCs w:val="22"/>
        </w:rPr>
      </w:pPr>
      <w:r w:rsidRPr="0040107B">
        <w:rPr>
          <w:rFonts w:asciiTheme="majorHAnsi" w:hAnsiTheme="majorHAnsi"/>
          <w:b/>
          <w:sz w:val="22"/>
          <w:szCs w:val="22"/>
        </w:rPr>
        <w:t xml:space="preserve">TECHNINĖ </w:t>
      </w:r>
      <w:r w:rsidR="006F4C45" w:rsidRPr="0040107B">
        <w:rPr>
          <w:rFonts w:asciiTheme="majorHAnsi" w:hAnsiTheme="majorHAnsi"/>
          <w:b/>
          <w:sz w:val="22"/>
          <w:szCs w:val="22"/>
        </w:rPr>
        <w:t>SPECIFIKACIJA</w:t>
      </w:r>
    </w:p>
    <w:p w14:paraId="61D2A4D9" w14:textId="77777777" w:rsidR="00E3730B" w:rsidRPr="0040107B" w:rsidRDefault="00E3730B" w:rsidP="001B066D">
      <w:pPr>
        <w:spacing w:before="100" w:beforeAutospacing="1" w:after="100" w:afterAutospacing="1"/>
        <w:ind w:firstLine="720"/>
        <w:jc w:val="both"/>
        <w:rPr>
          <w:rFonts w:asciiTheme="majorHAnsi" w:hAnsiTheme="majorHAnsi"/>
          <w:color w:val="000000"/>
          <w:sz w:val="22"/>
          <w:szCs w:val="22"/>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88"/>
        <w:gridCol w:w="1134"/>
        <w:gridCol w:w="1559"/>
      </w:tblGrid>
      <w:tr w:rsidR="00446744" w:rsidRPr="0040107B" w14:paraId="61D2A4DE" w14:textId="77777777" w:rsidTr="00144723">
        <w:trPr>
          <w:trHeight w:val="609"/>
          <w:tblHeader/>
          <w:jc w:val="center"/>
        </w:trPr>
        <w:tc>
          <w:tcPr>
            <w:tcW w:w="708" w:type="dxa"/>
            <w:tcBorders>
              <w:top w:val="single" w:sz="4" w:space="0" w:color="auto"/>
              <w:left w:val="single" w:sz="4" w:space="0" w:color="auto"/>
              <w:bottom w:val="single" w:sz="4" w:space="0" w:color="auto"/>
              <w:right w:val="single" w:sz="4" w:space="0" w:color="auto"/>
            </w:tcBorders>
          </w:tcPr>
          <w:p w14:paraId="61D2A4DA" w14:textId="77777777" w:rsidR="00446744" w:rsidRPr="0040107B" w:rsidRDefault="00446744" w:rsidP="00915BA1">
            <w:pPr>
              <w:jc w:val="center"/>
              <w:rPr>
                <w:rFonts w:asciiTheme="majorHAnsi" w:hAnsiTheme="majorHAnsi"/>
                <w:b/>
                <w:bCs/>
                <w:sz w:val="22"/>
                <w:szCs w:val="22"/>
              </w:rPr>
            </w:pPr>
            <w:r w:rsidRPr="0040107B">
              <w:rPr>
                <w:rFonts w:asciiTheme="majorHAnsi" w:hAnsiTheme="majorHAnsi"/>
                <w:b/>
                <w:bCs/>
                <w:sz w:val="22"/>
                <w:szCs w:val="22"/>
              </w:rPr>
              <w:t>Eil. Nr.</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1D2A4DB" w14:textId="77777777" w:rsidR="00446744" w:rsidRPr="0040107B" w:rsidRDefault="00446744" w:rsidP="00915BA1">
            <w:pPr>
              <w:jc w:val="center"/>
              <w:rPr>
                <w:rFonts w:asciiTheme="majorHAnsi" w:hAnsiTheme="majorHAnsi"/>
                <w:b/>
                <w:bCs/>
                <w:sz w:val="22"/>
                <w:szCs w:val="22"/>
              </w:rPr>
            </w:pPr>
            <w:r w:rsidRPr="0040107B">
              <w:rPr>
                <w:rFonts w:asciiTheme="majorHAnsi" w:hAnsiTheme="majorHAnsi"/>
                <w:b/>
                <w:bCs/>
                <w:sz w:val="22"/>
                <w:szCs w:val="22"/>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2A4DC" w14:textId="77777777" w:rsidR="00446744" w:rsidRPr="0040107B" w:rsidRDefault="00446744" w:rsidP="00915BA1">
            <w:pPr>
              <w:jc w:val="center"/>
              <w:rPr>
                <w:rFonts w:asciiTheme="majorHAnsi" w:hAnsiTheme="majorHAnsi"/>
                <w:b/>
                <w:bCs/>
                <w:sz w:val="22"/>
                <w:szCs w:val="22"/>
              </w:rPr>
            </w:pPr>
            <w:r w:rsidRPr="0040107B">
              <w:rPr>
                <w:rFonts w:asciiTheme="majorHAnsi" w:hAnsiTheme="majorHAnsi"/>
                <w:b/>
                <w:bCs/>
                <w:sz w:val="22"/>
                <w:szCs w:val="22"/>
              </w:rPr>
              <w:t>Mato vienetas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D2A4DD" w14:textId="77777777" w:rsidR="00446744" w:rsidRPr="0040107B" w:rsidRDefault="001B066D" w:rsidP="001B066D">
            <w:pPr>
              <w:jc w:val="center"/>
              <w:rPr>
                <w:rFonts w:asciiTheme="majorHAnsi" w:hAnsiTheme="majorHAnsi"/>
                <w:b/>
                <w:bCs/>
                <w:sz w:val="22"/>
                <w:szCs w:val="22"/>
              </w:rPr>
            </w:pPr>
            <w:r w:rsidRPr="0040107B">
              <w:rPr>
                <w:rFonts w:asciiTheme="majorHAnsi" w:hAnsiTheme="majorHAnsi"/>
                <w:b/>
                <w:bCs/>
                <w:sz w:val="22"/>
                <w:szCs w:val="22"/>
              </w:rPr>
              <w:t>Orientacinis k</w:t>
            </w:r>
            <w:r w:rsidR="00446744" w:rsidRPr="0040107B">
              <w:rPr>
                <w:rFonts w:asciiTheme="majorHAnsi" w:hAnsiTheme="majorHAnsi"/>
                <w:b/>
                <w:bCs/>
                <w:sz w:val="22"/>
                <w:szCs w:val="22"/>
              </w:rPr>
              <w:t>iekis</w:t>
            </w:r>
          </w:p>
        </w:tc>
      </w:tr>
      <w:tr w:rsidR="00144723" w:rsidRPr="0040107B" w14:paraId="61D2A4E5" w14:textId="77777777" w:rsidTr="00144723">
        <w:trPr>
          <w:trHeight w:val="609"/>
          <w:jc w:val="center"/>
        </w:trPr>
        <w:tc>
          <w:tcPr>
            <w:tcW w:w="708" w:type="dxa"/>
            <w:tcBorders>
              <w:top w:val="single" w:sz="4" w:space="0" w:color="auto"/>
              <w:left w:val="single" w:sz="4" w:space="0" w:color="auto"/>
              <w:bottom w:val="single" w:sz="4" w:space="0" w:color="auto"/>
              <w:right w:val="single" w:sz="4" w:space="0" w:color="auto"/>
            </w:tcBorders>
          </w:tcPr>
          <w:p w14:paraId="61D2A4DF" w14:textId="77777777" w:rsidR="00144723" w:rsidRPr="0040107B" w:rsidRDefault="00144723" w:rsidP="00144723">
            <w:pPr>
              <w:pStyle w:val="Footer"/>
              <w:tabs>
                <w:tab w:val="left" w:pos="629"/>
              </w:tabs>
              <w:jc w:val="center"/>
              <w:rPr>
                <w:rFonts w:asciiTheme="majorHAnsi" w:hAnsiTheme="majorHAnsi"/>
                <w:sz w:val="22"/>
                <w:szCs w:val="22"/>
                <w:lang w:val="lt-LT"/>
              </w:rPr>
            </w:pPr>
            <w:r w:rsidRPr="0040107B">
              <w:rPr>
                <w:rFonts w:asciiTheme="majorHAnsi" w:hAnsiTheme="majorHAnsi"/>
                <w:sz w:val="22"/>
                <w:szCs w:val="22"/>
                <w:lang w:val="lt-LT"/>
              </w:rPr>
              <w:t>1.</w:t>
            </w:r>
          </w:p>
        </w:tc>
        <w:tc>
          <w:tcPr>
            <w:tcW w:w="7088" w:type="dxa"/>
            <w:tcBorders>
              <w:top w:val="single" w:sz="4" w:space="0" w:color="auto"/>
              <w:left w:val="single" w:sz="4" w:space="0" w:color="auto"/>
              <w:bottom w:val="single" w:sz="4" w:space="0" w:color="auto"/>
              <w:right w:val="single" w:sz="4" w:space="0" w:color="auto"/>
            </w:tcBorders>
            <w:hideMark/>
          </w:tcPr>
          <w:p w14:paraId="61D2A4E0" w14:textId="77777777" w:rsidR="00144723" w:rsidRPr="0040107B" w:rsidRDefault="00144723" w:rsidP="00144723">
            <w:pPr>
              <w:pStyle w:val="Footer"/>
              <w:tabs>
                <w:tab w:val="left" w:pos="629"/>
              </w:tabs>
              <w:rPr>
                <w:rFonts w:asciiTheme="majorHAnsi" w:hAnsiTheme="majorHAnsi"/>
                <w:b/>
                <w:sz w:val="22"/>
                <w:szCs w:val="22"/>
                <w:lang w:val="lt-LT"/>
              </w:rPr>
            </w:pPr>
            <w:r w:rsidRPr="0040107B">
              <w:rPr>
                <w:rFonts w:asciiTheme="majorHAnsi" w:hAnsiTheme="majorHAnsi"/>
                <w:b/>
                <w:sz w:val="22"/>
                <w:szCs w:val="22"/>
                <w:lang w:val="lt-LT"/>
              </w:rPr>
              <w:t>Programavimo įrenginys skirtas programuoti gamintojo „Specialist Alarm Services“ NET slaugytojų iškvietimo sistemą.</w:t>
            </w:r>
          </w:p>
          <w:p w14:paraId="61D2A4E1"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sudarytas iš plastikinio išardomo korpuso su LCD displėjumi ir valdymo mygtukais. Displėjus turi būti tekstinis. Turi būti skirtas įrenginiams priskirti unikalius adresus bei pavadinimus.</w:t>
            </w:r>
          </w:p>
          <w:p w14:paraId="61D2A4E2" w14:textId="77777777" w:rsidR="00144723" w:rsidRPr="0040107B" w:rsidRDefault="00144723" w:rsidP="00144723">
            <w:pPr>
              <w:pStyle w:val="Footer"/>
              <w:tabs>
                <w:tab w:val="left" w:pos="1296"/>
              </w:tabs>
              <w:rPr>
                <w:rFonts w:asciiTheme="majorHAnsi" w:hAnsiTheme="majorHAnsi"/>
                <w:color w:val="000000" w:themeColor="text1"/>
                <w:sz w:val="22"/>
                <w:szCs w:val="22"/>
                <w:lang w:val="lt-LT"/>
              </w:rPr>
            </w:pPr>
            <w:r w:rsidRPr="0040107B">
              <w:rPr>
                <w:rFonts w:asciiTheme="majorHAnsi" w:hAnsiTheme="majorHAnsi"/>
                <w:sz w:val="22"/>
                <w:szCs w:val="22"/>
              </w:rPr>
              <w:t xml:space="preserve"> </w:t>
            </w:r>
            <w:r w:rsidRPr="0040107B">
              <w:rPr>
                <w:rFonts w:asciiTheme="majorHAnsi" w:hAnsiTheme="majorHAnsi"/>
                <w:color w:val="000000" w:themeColor="text1"/>
                <w:sz w:val="22"/>
                <w:szCs w:val="22"/>
                <w:lang w:val="lt-LT"/>
              </w:rPr>
              <w:t>Displėjus turi gebėti atvaizduoti ne mažiau kaip 2 eilutes su simboliais.</w:t>
            </w:r>
          </w:p>
        </w:tc>
        <w:tc>
          <w:tcPr>
            <w:tcW w:w="1134" w:type="dxa"/>
            <w:tcBorders>
              <w:top w:val="single" w:sz="4" w:space="0" w:color="auto"/>
              <w:left w:val="single" w:sz="4" w:space="0" w:color="auto"/>
              <w:bottom w:val="single" w:sz="4" w:space="0" w:color="auto"/>
              <w:right w:val="single" w:sz="4" w:space="0" w:color="auto"/>
            </w:tcBorders>
            <w:hideMark/>
          </w:tcPr>
          <w:p w14:paraId="61D2A4E3" w14:textId="77777777" w:rsidR="00144723" w:rsidRPr="0040107B" w:rsidRDefault="00144723" w:rsidP="00144723">
            <w:pPr>
              <w:jc w:val="center"/>
              <w:rPr>
                <w:rFonts w:asciiTheme="majorHAnsi" w:hAnsiTheme="majorHAnsi"/>
                <w:bCs/>
                <w:sz w:val="22"/>
                <w:szCs w:val="22"/>
              </w:rPr>
            </w:pPr>
            <w:r w:rsidRPr="0040107B">
              <w:rPr>
                <w:rFonts w:asciiTheme="majorHAnsi" w:hAnsiTheme="majorHAnsi"/>
                <w:bCs/>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4E4" w14:textId="77777777" w:rsidR="00144723" w:rsidRPr="0040107B" w:rsidRDefault="00144723" w:rsidP="00144723">
            <w:pPr>
              <w:suppressAutoHyphens w:val="0"/>
              <w:jc w:val="center"/>
              <w:outlineLvl w:val="1"/>
              <w:rPr>
                <w:rFonts w:asciiTheme="majorHAnsi" w:hAnsiTheme="majorHAnsi"/>
                <w:lang w:val="en-US" w:eastAsia="en-US"/>
              </w:rPr>
            </w:pPr>
            <w:r w:rsidRPr="0040107B">
              <w:rPr>
                <w:rFonts w:asciiTheme="majorHAnsi" w:hAnsiTheme="majorHAnsi"/>
              </w:rPr>
              <w:t>4</w:t>
            </w:r>
          </w:p>
        </w:tc>
      </w:tr>
      <w:tr w:rsidR="00144723" w:rsidRPr="0040107B" w14:paraId="61D2A4EE"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4E6" w14:textId="77777777" w:rsidR="00144723" w:rsidRPr="0040107B" w:rsidRDefault="00144723" w:rsidP="00144723">
            <w:pPr>
              <w:pStyle w:val="Footer"/>
              <w:tabs>
                <w:tab w:val="left" w:pos="1296"/>
              </w:tabs>
              <w:jc w:val="center"/>
              <w:rPr>
                <w:rFonts w:asciiTheme="majorHAnsi" w:hAnsiTheme="majorHAnsi"/>
                <w:sz w:val="22"/>
                <w:szCs w:val="22"/>
                <w:lang w:val="lt-LT"/>
              </w:rPr>
            </w:pPr>
            <w:r w:rsidRPr="0040107B">
              <w:rPr>
                <w:rFonts w:asciiTheme="majorHAnsi" w:hAnsiTheme="majorHAnsi"/>
                <w:sz w:val="22"/>
                <w:szCs w:val="22"/>
                <w:lang w:val="lt-LT"/>
              </w:rPr>
              <w:t>2.</w:t>
            </w:r>
          </w:p>
        </w:tc>
        <w:tc>
          <w:tcPr>
            <w:tcW w:w="7088" w:type="dxa"/>
            <w:tcBorders>
              <w:top w:val="single" w:sz="4" w:space="0" w:color="auto"/>
              <w:left w:val="single" w:sz="4" w:space="0" w:color="auto"/>
              <w:bottom w:val="single" w:sz="4" w:space="0" w:color="auto"/>
              <w:right w:val="single" w:sz="4" w:space="0" w:color="auto"/>
            </w:tcBorders>
          </w:tcPr>
          <w:p w14:paraId="61D2A4E7"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b/>
                <w:sz w:val="22"/>
                <w:szCs w:val="22"/>
                <w:lang w:val="lt-LT"/>
              </w:rPr>
              <w:t>Centrinis įrenginys su maitinimo šaltiniu tinkantis naudoti „Specialist Alarm Services“ NET slaugytojų iškvietimo sistemoje.</w:t>
            </w:r>
          </w:p>
          <w:p w14:paraId="61D2A4E8"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sudarytas iš dažyto metalinio korpuso (dėžės) su užrakinamomis durelėmis, kurios viduje turi būti sumontuotas maitinimo šaltinis, centrinio įrenginio plokštė ir 12 V akumuliatorinė baterija. Korpuso šonuose turi būti angos kabeliams į dėžę įvesti.</w:t>
            </w:r>
          </w:p>
          <w:p w14:paraId="61D2A4E9"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galimybė prijungti valdymo / indikacinius pultelius.</w:t>
            </w:r>
          </w:p>
          <w:p w14:paraId="61D2A4EA"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color w:val="000000" w:themeColor="text1"/>
                <w:sz w:val="22"/>
                <w:szCs w:val="22"/>
              </w:rPr>
              <w:t>Turi būti galimybė</w:t>
            </w:r>
            <w:r w:rsidRPr="0040107B">
              <w:rPr>
                <w:rFonts w:asciiTheme="majorHAnsi" w:hAnsiTheme="majorHAnsi"/>
                <w:color w:val="FF0000"/>
                <w:sz w:val="22"/>
                <w:szCs w:val="22"/>
              </w:rPr>
              <w:t xml:space="preserve"> </w:t>
            </w:r>
            <w:r w:rsidRPr="0040107B">
              <w:rPr>
                <w:rFonts w:asciiTheme="majorHAnsi" w:hAnsiTheme="majorHAnsi"/>
                <w:color w:val="000000" w:themeColor="text1"/>
                <w:sz w:val="22"/>
                <w:szCs w:val="22"/>
              </w:rPr>
              <w:t xml:space="preserve">reguliuoti vidinio garsinio </w:t>
            </w:r>
            <w:r w:rsidRPr="0040107B">
              <w:rPr>
                <w:rFonts w:asciiTheme="majorHAnsi" w:hAnsiTheme="majorHAnsi"/>
                <w:sz w:val="22"/>
                <w:szCs w:val="22"/>
              </w:rPr>
              <w:t>signalizatoriaus garso lygį.</w:t>
            </w:r>
          </w:p>
          <w:p w14:paraId="61D2A4EB"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Maitinimas: 230 V ± 10%.</w:t>
            </w:r>
          </w:p>
        </w:tc>
        <w:tc>
          <w:tcPr>
            <w:tcW w:w="1134" w:type="dxa"/>
            <w:tcBorders>
              <w:top w:val="single" w:sz="4" w:space="0" w:color="auto"/>
              <w:left w:val="single" w:sz="4" w:space="0" w:color="auto"/>
              <w:bottom w:val="single" w:sz="4" w:space="0" w:color="auto"/>
              <w:right w:val="single" w:sz="4" w:space="0" w:color="auto"/>
            </w:tcBorders>
          </w:tcPr>
          <w:p w14:paraId="61D2A4EC"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4ED" w14:textId="77777777" w:rsidR="00F82889" w:rsidRPr="0040107B" w:rsidRDefault="00F82889" w:rsidP="00F82889">
            <w:pPr>
              <w:jc w:val="center"/>
              <w:outlineLvl w:val="1"/>
              <w:rPr>
                <w:rFonts w:asciiTheme="majorHAnsi" w:hAnsiTheme="majorHAnsi"/>
              </w:rPr>
            </w:pPr>
            <w:r w:rsidRPr="0040107B">
              <w:rPr>
                <w:rFonts w:asciiTheme="majorHAnsi" w:hAnsiTheme="majorHAnsi"/>
              </w:rPr>
              <w:t>4</w:t>
            </w:r>
          </w:p>
        </w:tc>
      </w:tr>
      <w:tr w:rsidR="00144723" w:rsidRPr="0040107B" w14:paraId="61D2A4F8"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4EF" w14:textId="77777777" w:rsidR="00144723" w:rsidRPr="0040107B" w:rsidRDefault="00144723" w:rsidP="00144723">
            <w:pPr>
              <w:pStyle w:val="Footer"/>
              <w:tabs>
                <w:tab w:val="left" w:pos="1296"/>
              </w:tabs>
              <w:jc w:val="center"/>
              <w:rPr>
                <w:rFonts w:asciiTheme="majorHAnsi" w:hAnsiTheme="majorHAnsi"/>
                <w:sz w:val="22"/>
                <w:szCs w:val="22"/>
                <w:lang w:val="lt-LT"/>
              </w:rPr>
            </w:pPr>
            <w:r w:rsidRPr="0040107B">
              <w:rPr>
                <w:rFonts w:asciiTheme="majorHAnsi" w:hAnsiTheme="majorHAnsi"/>
                <w:sz w:val="22"/>
                <w:szCs w:val="22"/>
                <w:lang w:val="lt-LT"/>
              </w:rPr>
              <w:t>3.</w:t>
            </w:r>
          </w:p>
        </w:tc>
        <w:tc>
          <w:tcPr>
            <w:tcW w:w="7088" w:type="dxa"/>
            <w:tcBorders>
              <w:top w:val="single" w:sz="4" w:space="0" w:color="auto"/>
              <w:left w:val="single" w:sz="4" w:space="0" w:color="auto"/>
              <w:bottom w:val="single" w:sz="4" w:space="0" w:color="auto"/>
              <w:right w:val="single" w:sz="4" w:space="0" w:color="auto"/>
            </w:tcBorders>
          </w:tcPr>
          <w:p w14:paraId="61D2A4F0"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b/>
                <w:sz w:val="22"/>
                <w:szCs w:val="22"/>
                <w:lang w:val="lt-LT"/>
              </w:rPr>
              <w:t>Valdymo / indikacinis pultelis tinkantis naudoti „Specialist Alarm Services“ NET slaugytojų iškvietimo sistemoje.</w:t>
            </w:r>
          </w:p>
          <w:p w14:paraId="61D2A4F1"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sudarytas iš plastikinio išardomo korpuso su LCD displėjumi ir valdymo mygtukais. Displėjus turi būti tekstinis, informuojantis personalą atitinkamu užrašu apie šaukimo objektą.</w:t>
            </w:r>
          </w:p>
          <w:p w14:paraId="61D2A4F2" w14:textId="77777777" w:rsidR="00144723" w:rsidRPr="0040107B" w:rsidRDefault="00144723" w:rsidP="00144723">
            <w:pPr>
              <w:pStyle w:val="Footer"/>
              <w:tabs>
                <w:tab w:val="left" w:pos="1296"/>
              </w:tabs>
              <w:rPr>
                <w:rFonts w:asciiTheme="majorHAnsi" w:hAnsiTheme="majorHAnsi"/>
                <w:color w:val="000000" w:themeColor="text1"/>
                <w:sz w:val="22"/>
                <w:szCs w:val="22"/>
                <w:lang w:val="lt-LT"/>
              </w:rPr>
            </w:pPr>
            <w:r w:rsidRPr="0040107B">
              <w:rPr>
                <w:rFonts w:asciiTheme="majorHAnsi" w:hAnsiTheme="majorHAnsi"/>
                <w:color w:val="000000" w:themeColor="text1"/>
                <w:sz w:val="22"/>
                <w:szCs w:val="22"/>
                <w:lang w:val="lt-LT"/>
              </w:rPr>
              <w:t>Displėjus turi gebėti atvaizduoti ne mažiau kaip 2 eilutes su ne mažesniais nei 12 mm simboliais.</w:t>
            </w:r>
          </w:p>
          <w:p w14:paraId="61D2A4F3"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sz w:val="22"/>
                <w:szCs w:val="22"/>
                <w:lang w:val="lt-LT"/>
              </w:rPr>
              <w:t>Pultelyje turi būti integruotas garsinis signalizatorius, kurį galima būti nutildyti užprogramuotam laiko tarpui.</w:t>
            </w:r>
          </w:p>
          <w:p w14:paraId="61D2A4F4"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sz w:val="22"/>
                <w:szCs w:val="22"/>
                <w:lang w:val="lt-LT"/>
              </w:rPr>
              <w:t>Vienu metu displėjuje turi būti galima atvaizduoti ne mažiau kaip du iškvietimo signalus.</w:t>
            </w:r>
          </w:p>
          <w:p w14:paraId="61D2A4F5"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sz w:val="22"/>
                <w:szCs w:val="22"/>
                <w:lang w:val="lt-LT"/>
              </w:rPr>
              <w:t>Iškvietimo signalų istoriją turi būti galima peržiūrėti pasirinkimo mygtukais.</w:t>
            </w:r>
          </w:p>
        </w:tc>
        <w:tc>
          <w:tcPr>
            <w:tcW w:w="1134" w:type="dxa"/>
            <w:tcBorders>
              <w:top w:val="single" w:sz="4" w:space="0" w:color="auto"/>
              <w:left w:val="single" w:sz="4" w:space="0" w:color="auto"/>
              <w:bottom w:val="single" w:sz="4" w:space="0" w:color="auto"/>
              <w:right w:val="single" w:sz="4" w:space="0" w:color="auto"/>
            </w:tcBorders>
          </w:tcPr>
          <w:p w14:paraId="61D2A4F6"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4F7" w14:textId="77777777" w:rsidR="00F82889" w:rsidRPr="0040107B" w:rsidRDefault="00F82889" w:rsidP="00F82889">
            <w:pPr>
              <w:jc w:val="center"/>
              <w:outlineLvl w:val="1"/>
              <w:rPr>
                <w:rFonts w:asciiTheme="majorHAnsi" w:hAnsiTheme="majorHAnsi"/>
              </w:rPr>
            </w:pPr>
            <w:r w:rsidRPr="0040107B">
              <w:rPr>
                <w:rFonts w:asciiTheme="majorHAnsi" w:hAnsiTheme="majorHAnsi"/>
              </w:rPr>
              <w:t>20</w:t>
            </w:r>
          </w:p>
        </w:tc>
      </w:tr>
      <w:tr w:rsidR="00144723" w:rsidRPr="0040107B" w14:paraId="61D2A4FF"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4F9" w14:textId="77777777" w:rsidR="00144723" w:rsidRPr="0040107B" w:rsidRDefault="00144723" w:rsidP="00144723">
            <w:pPr>
              <w:pStyle w:val="Footer"/>
              <w:tabs>
                <w:tab w:val="left" w:pos="1296"/>
              </w:tabs>
              <w:jc w:val="center"/>
              <w:rPr>
                <w:rFonts w:asciiTheme="majorHAnsi" w:hAnsiTheme="majorHAnsi"/>
                <w:sz w:val="22"/>
                <w:szCs w:val="22"/>
                <w:lang w:val="lt-LT"/>
              </w:rPr>
            </w:pPr>
            <w:r w:rsidRPr="0040107B">
              <w:rPr>
                <w:rFonts w:asciiTheme="majorHAnsi" w:hAnsiTheme="majorHAnsi"/>
                <w:sz w:val="22"/>
                <w:szCs w:val="22"/>
                <w:lang w:val="lt-LT"/>
              </w:rPr>
              <w:t>4.</w:t>
            </w:r>
          </w:p>
        </w:tc>
        <w:tc>
          <w:tcPr>
            <w:tcW w:w="7088" w:type="dxa"/>
            <w:tcBorders>
              <w:top w:val="single" w:sz="4" w:space="0" w:color="auto"/>
              <w:left w:val="single" w:sz="4" w:space="0" w:color="auto"/>
              <w:bottom w:val="single" w:sz="4" w:space="0" w:color="auto"/>
              <w:right w:val="single" w:sz="4" w:space="0" w:color="auto"/>
            </w:tcBorders>
          </w:tcPr>
          <w:p w14:paraId="61D2A4FA"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b/>
                <w:sz w:val="22"/>
                <w:szCs w:val="22"/>
                <w:lang w:val="lt-LT"/>
              </w:rPr>
              <w:t>Prailgintas iškvietimo mygtukas tinkantis naudoti „Specialist Alarm Services“ NET slaugytojų iškvietimo sistemoje.</w:t>
            </w:r>
          </w:p>
          <w:p w14:paraId="61D2A4FB"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Įrenginys turi būti skirtas šaukimui aktyvuoti.</w:t>
            </w:r>
          </w:p>
          <w:p w14:paraId="61D2A4FC"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Į ranką paimamas</w:t>
            </w:r>
            <w:r w:rsidRPr="0040107B">
              <w:rPr>
                <w:rFonts w:asciiTheme="majorHAnsi" w:hAnsiTheme="majorHAnsi"/>
                <w:b/>
                <w:sz w:val="22"/>
                <w:szCs w:val="22"/>
              </w:rPr>
              <w:t xml:space="preserve"> </w:t>
            </w:r>
            <w:r w:rsidRPr="0040107B">
              <w:rPr>
                <w:rFonts w:asciiTheme="majorHAnsi" w:hAnsiTheme="majorHAnsi"/>
                <w:sz w:val="22"/>
                <w:szCs w:val="22"/>
              </w:rPr>
              <w:t>iškvietimo mygtukas su 2,5 m ilgio laidu su štekerio tipo jungtimi skirta prijungti prie iškvietimo taško.</w:t>
            </w:r>
          </w:p>
        </w:tc>
        <w:tc>
          <w:tcPr>
            <w:tcW w:w="1134" w:type="dxa"/>
            <w:tcBorders>
              <w:top w:val="single" w:sz="4" w:space="0" w:color="auto"/>
              <w:left w:val="single" w:sz="4" w:space="0" w:color="auto"/>
              <w:bottom w:val="single" w:sz="4" w:space="0" w:color="auto"/>
              <w:right w:val="single" w:sz="4" w:space="0" w:color="auto"/>
            </w:tcBorders>
          </w:tcPr>
          <w:p w14:paraId="61D2A4FD"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4FE" w14:textId="77777777" w:rsidR="00144723" w:rsidRPr="0040107B" w:rsidRDefault="00144723" w:rsidP="00144723">
            <w:pPr>
              <w:jc w:val="center"/>
              <w:outlineLvl w:val="1"/>
              <w:rPr>
                <w:rFonts w:asciiTheme="majorHAnsi" w:hAnsiTheme="majorHAnsi"/>
              </w:rPr>
            </w:pPr>
            <w:r w:rsidRPr="0040107B">
              <w:rPr>
                <w:rFonts w:asciiTheme="majorHAnsi" w:hAnsiTheme="majorHAnsi"/>
              </w:rPr>
              <w:t>60</w:t>
            </w:r>
          </w:p>
        </w:tc>
      </w:tr>
      <w:tr w:rsidR="00144723" w:rsidRPr="0040107B" w14:paraId="61D2A507"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500"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5.</w:t>
            </w:r>
          </w:p>
        </w:tc>
        <w:tc>
          <w:tcPr>
            <w:tcW w:w="7088" w:type="dxa"/>
            <w:tcBorders>
              <w:top w:val="single" w:sz="4" w:space="0" w:color="auto"/>
              <w:left w:val="single" w:sz="4" w:space="0" w:color="auto"/>
              <w:bottom w:val="single" w:sz="4" w:space="0" w:color="auto"/>
              <w:right w:val="single" w:sz="4" w:space="0" w:color="auto"/>
            </w:tcBorders>
          </w:tcPr>
          <w:p w14:paraId="61D2A501"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b/>
                <w:sz w:val="22"/>
                <w:szCs w:val="22"/>
              </w:rPr>
              <w:t xml:space="preserve">Iškvietimo taškas </w:t>
            </w:r>
            <w:r w:rsidRPr="0040107B">
              <w:rPr>
                <w:rFonts w:asciiTheme="majorHAnsi" w:hAnsiTheme="majorHAnsi"/>
                <w:b/>
                <w:sz w:val="22"/>
                <w:szCs w:val="22"/>
                <w:lang w:val="lt-LT"/>
              </w:rPr>
              <w:t>tinkantis naudoti „Specialist Alarm Services“ NET slaugytojų iškvietimo sistemoje.</w:t>
            </w:r>
          </w:p>
          <w:p w14:paraId="61D2A502"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Įrenginys turi būti skirtas šaukimui aktyvuoti.</w:t>
            </w:r>
          </w:p>
          <w:p w14:paraId="61D2A503"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sudarytas iš plastikinio išardomo korpuso valdymo mygtukais ir lizdu prailgintam iškvietimo mygtukui pajungti.</w:t>
            </w:r>
          </w:p>
          <w:p w14:paraId="61D2A504"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žalios ir raudonos šviesos indikacija.</w:t>
            </w:r>
          </w:p>
        </w:tc>
        <w:tc>
          <w:tcPr>
            <w:tcW w:w="1134" w:type="dxa"/>
            <w:tcBorders>
              <w:top w:val="single" w:sz="4" w:space="0" w:color="auto"/>
              <w:left w:val="single" w:sz="4" w:space="0" w:color="auto"/>
              <w:bottom w:val="single" w:sz="4" w:space="0" w:color="auto"/>
              <w:right w:val="single" w:sz="4" w:space="0" w:color="auto"/>
            </w:tcBorders>
          </w:tcPr>
          <w:p w14:paraId="61D2A505"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506" w14:textId="77777777" w:rsidR="00144723" w:rsidRPr="0040107B" w:rsidRDefault="00144723" w:rsidP="00144723">
            <w:pPr>
              <w:jc w:val="center"/>
              <w:outlineLvl w:val="1"/>
              <w:rPr>
                <w:rFonts w:asciiTheme="majorHAnsi" w:hAnsiTheme="majorHAnsi"/>
              </w:rPr>
            </w:pPr>
            <w:r w:rsidRPr="0040107B">
              <w:rPr>
                <w:rFonts w:asciiTheme="majorHAnsi" w:hAnsiTheme="majorHAnsi"/>
              </w:rPr>
              <w:t>30</w:t>
            </w:r>
          </w:p>
        </w:tc>
      </w:tr>
      <w:tr w:rsidR="00144723" w:rsidRPr="0040107B" w14:paraId="61D2A50F"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508"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6.</w:t>
            </w:r>
          </w:p>
        </w:tc>
        <w:tc>
          <w:tcPr>
            <w:tcW w:w="7088" w:type="dxa"/>
            <w:tcBorders>
              <w:top w:val="single" w:sz="4" w:space="0" w:color="auto"/>
              <w:left w:val="single" w:sz="4" w:space="0" w:color="auto"/>
              <w:bottom w:val="single" w:sz="4" w:space="0" w:color="auto"/>
              <w:right w:val="single" w:sz="4" w:space="0" w:color="auto"/>
            </w:tcBorders>
          </w:tcPr>
          <w:p w14:paraId="61D2A509"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b/>
                <w:sz w:val="22"/>
                <w:szCs w:val="22"/>
              </w:rPr>
              <w:t xml:space="preserve">Indikatorius virš palatos durų su garso signalizatoriumi </w:t>
            </w:r>
            <w:r w:rsidRPr="0040107B">
              <w:rPr>
                <w:rFonts w:asciiTheme="majorHAnsi" w:hAnsiTheme="majorHAnsi"/>
                <w:b/>
                <w:sz w:val="22"/>
                <w:szCs w:val="22"/>
                <w:lang w:val="lt-LT"/>
              </w:rPr>
              <w:t>tinkantis naudoti „Specialist Alarm Services“ NET slaugytojų iškvietimo sistemoje.</w:t>
            </w:r>
          </w:p>
          <w:p w14:paraId="61D2A50A"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Įrenginys turi būti skirtas šaukimo atveju personalo dėmesiui atkreipti šviesos ir garso signalais.</w:t>
            </w:r>
          </w:p>
          <w:p w14:paraId="61D2A50B"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lastRenderedPageBreak/>
              <w:t>Turi būti sudarytas iš plastikinio išardomo korpuso su šviesos signalo sklaidytuvu.</w:t>
            </w:r>
          </w:p>
          <w:p w14:paraId="61D2A50C"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Turi būti žalios ir raudonos šviesos indikacija.</w:t>
            </w:r>
          </w:p>
        </w:tc>
        <w:tc>
          <w:tcPr>
            <w:tcW w:w="1134" w:type="dxa"/>
            <w:tcBorders>
              <w:top w:val="single" w:sz="4" w:space="0" w:color="auto"/>
              <w:left w:val="single" w:sz="4" w:space="0" w:color="auto"/>
              <w:bottom w:val="single" w:sz="4" w:space="0" w:color="auto"/>
              <w:right w:val="single" w:sz="4" w:space="0" w:color="auto"/>
            </w:tcBorders>
          </w:tcPr>
          <w:p w14:paraId="61D2A50D"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lastRenderedPageBreak/>
              <w:t>vnt.</w:t>
            </w:r>
          </w:p>
        </w:tc>
        <w:tc>
          <w:tcPr>
            <w:tcW w:w="1559" w:type="dxa"/>
            <w:tcBorders>
              <w:top w:val="single" w:sz="4" w:space="0" w:color="auto"/>
              <w:left w:val="single" w:sz="4" w:space="0" w:color="auto"/>
              <w:bottom w:val="single" w:sz="4" w:space="0" w:color="auto"/>
              <w:right w:val="single" w:sz="4" w:space="0" w:color="auto"/>
            </w:tcBorders>
          </w:tcPr>
          <w:p w14:paraId="61D2A50E" w14:textId="77777777" w:rsidR="00144723" w:rsidRPr="0040107B" w:rsidRDefault="00144723" w:rsidP="00144723">
            <w:pPr>
              <w:jc w:val="center"/>
              <w:outlineLvl w:val="1"/>
              <w:rPr>
                <w:rFonts w:asciiTheme="majorHAnsi" w:hAnsiTheme="majorHAnsi"/>
              </w:rPr>
            </w:pPr>
            <w:r w:rsidRPr="0040107B">
              <w:rPr>
                <w:rFonts w:asciiTheme="majorHAnsi" w:hAnsiTheme="majorHAnsi"/>
              </w:rPr>
              <w:t>30</w:t>
            </w:r>
          </w:p>
        </w:tc>
      </w:tr>
      <w:tr w:rsidR="00144723" w:rsidRPr="0040107B" w14:paraId="61D2A516"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510"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7.</w:t>
            </w:r>
          </w:p>
        </w:tc>
        <w:tc>
          <w:tcPr>
            <w:tcW w:w="7088" w:type="dxa"/>
            <w:tcBorders>
              <w:top w:val="single" w:sz="4" w:space="0" w:color="auto"/>
              <w:left w:val="single" w:sz="4" w:space="0" w:color="auto"/>
              <w:bottom w:val="single" w:sz="4" w:space="0" w:color="auto"/>
              <w:right w:val="single" w:sz="4" w:space="0" w:color="auto"/>
            </w:tcBorders>
          </w:tcPr>
          <w:p w14:paraId="61D2A511" w14:textId="77777777" w:rsidR="00144723" w:rsidRPr="0040107B" w:rsidRDefault="00144723" w:rsidP="00144723">
            <w:pPr>
              <w:pStyle w:val="Footer"/>
              <w:tabs>
                <w:tab w:val="left" w:pos="1296"/>
              </w:tabs>
              <w:rPr>
                <w:rFonts w:asciiTheme="majorHAnsi" w:hAnsiTheme="majorHAnsi"/>
                <w:b/>
                <w:sz w:val="22"/>
                <w:szCs w:val="22"/>
                <w:lang w:val="lt-LT"/>
              </w:rPr>
            </w:pPr>
            <w:r w:rsidRPr="0040107B">
              <w:rPr>
                <w:rFonts w:asciiTheme="majorHAnsi" w:hAnsiTheme="majorHAnsi"/>
                <w:b/>
                <w:sz w:val="22"/>
                <w:szCs w:val="22"/>
              </w:rPr>
              <w:t xml:space="preserve">Lubinis jungiklis su virvute </w:t>
            </w:r>
            <w:r w:rsidRPr="0040107B">
              <w:rPr>
                <w:rFonts w:asciiTheme="majorHAnsi" w:hAnsiTheme="majorHAnsi"/>
                <w:b/>
                <w:sz w:val="22"/>
                <w:szCs w:val="22"/>
                <w:lang w:val="lt-LT"/>
              </w:rPr>
              <w:t>tinkantis naudoti „Specialist Alarm Services“ NET slaugytojų iškvietimo sistemoje.</w:t>
            </w:r>
          </w:p>
          <w:p w14:paraId="61D2A512"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Įrenginys turi būti skirtas šaukimui aktyvuoti.</w:t>
            </w:r>
          </w:p>
          <w:p w14:paraId="61D2A513" w14:textId="77777777" w:rsidR="00144723" w:rsidRPr="0040107B" w:rsidRDefault="00144723" w:rsidP="00144723">
            <w:pPr>
              <w:suppressAutoHyphens w:val="0"/>
              <w:jc w:val="both"/>
              <w:rPr>
                <w:rFonts w:asciiTheme="majorHAnsi" w:hAnsiTheme="majorHAnsi"/>
                <w:sz w:val="22"/>
                <w:szCs w:val="22"/>
              </w:rPr>
            </w:pPr>
            <w:r w:rsidRPr="0040107B">
              <w:rPr>
                <w:rFonts w:asciiTheme="majorHAnsi" w:hAnsiTheme="majorHAnsi"/>
                <w:sz w:val="22"/>
                <w:szCs w:val="22"/>
              </w:rPr>
              <w:t>Įrenginys turi būti su 2,5 m ilgio virvute besibaigiančia su dviem trikampio formos rankenėlėmis.</w:t>
            </w:r>
          </w:p>
        </w:tc>
        <w:tc>
          <w:tcPr>
            <w:tcW w:w="1134" w:type="dxa"/>
            <w:tcBorders>
              <w:top w:val="single" w:sz="4" w:space="0" w:color="auto"/>
              <w:left w:val="single" w:sz="4" w:space="0" w:color="auto"/>
              <w:bottom w:val="single" w:sz="4" w:space="0" w:color="auto"/>
              <w:right w:val="single" w:sz="4" w:space="0" w:color="auto"/>
            </w:tcBorders>
          </w:tcPr>
          <w:p w14:paraId="61D2A514"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515" w14:textId="77777777" w:rsidR="00144723" w:rsidRPr="0040107B" w:rsidRDefault="00144723" w:rsidP="00144723">
            <w:pPr>
              <w:jc w:val="center"/>
              <w:outlineLvl w:val="1"/>
              <w:rPr>
                <w:rFonts w:asciiTheme="majorHAnsi" w:hAnsiTheme="majorHAnsi"/>
              </w:rPr>
            </w:pPr>
            <w:r w:rsidRPr="0040107B">
              <w:rPr>
                <w:rFonts w:asciiTheme="majorHAnsi" w:hAnsiTheme="majorHAnsi"/>
              </w:rPr>
              <w:t>30</w:t>
            </w:r>
          </w:p>
        </w:tc>
      </w:tr>
      <w:tr w:rsidR="00144723" w:rsidRPr="0040107B" w14:paraId="61D2A51C" w14:textId="77777777" w:rsidTr="00144723">
        <w:trPr>
          <w:trHeight w:val="205"/>
          <w:jc w:val="center"/>
        </w:trPr>
        <w:tc>
          <w:tcPr>
            <w:tcW w:w="708" w:type="dxa"/>
            <w:tcBorders>
              <w:top w:val="single" w:sz="4" w:space="0" w:color="auto"/>
              <w:left w:val="single" w:sz="4" w:space="0" w:color="auto"/>
              <w:bottom w:val="single" w:sz="4" w:space="0" w:color="auto"/>
              <w:right w:val="single" w:sz="4" w:space="0" w:color="auto"/>
            </w:tcBorders>
          </w:tcPr>
          <w:p w14:paraId="61D2A517" w14:textId="77777777" w:rsidR="00144723" w:rsidRPr="0040107B" w:rsidRDefault="00144723" w:rsidP="00144723">
            <w:pPr>
              <w:pStyle w:val="Footer"/>
              <w:tabs>
                <w:tab w:val="left" w:pos="1296"/>
              </w:tabs>
              <w:jc w:val="center"/>
              <w:rPr>
                <w:rFonts w:asciiTheme="majorHAnsi" w:hAnsiTheme="majorHAnsi"/>
                <w:bCs/>
                <w:sz w:val="22"/>
                <w:szCs w:val="22"/>
                <w:lang w:val="lt-LT"/>
              </w:rPr>
            </w:pPr>
            <w:r w:rsidRPr="0040107B">
              <w:rPr>
                <w:rFonts w:asciiTheme="majorHAnsi" w:hAnsiTheme="majorHAnsi"/>
                <w:bCs/>
                <w:sz w:val="22"/>
                <w:szCs w:val="22"/>
                <w:lang w:val="lt-LT"/>
              </w:rPr>
              <w:t>8.</w:t>
            </w:r>
          </w:p>
        </w:tc>
        <w:tc>
          <w:tcPr>
            <w:tcW w:w="7088" w:type="dxa"/>
            <w:tcBorders>
              <w:top w:val="single" w:sz="4" w:space="0" w:color="auto"/>
              <w:left w:val="single" w:sz="4" w:space="0" w:color="auto"/>
              <w:bottom w:val="single" w:sz="4" w:space="0" w:color="auto"/>
              <w:right w:val="single" w:sz="4" w:space="0" w:color="auto"/>
            </w:tcBorders>
          </w:tcPr>
          <w:p w14:paraId="61D2A518" w14:textId="77777777" w:rsidR="00144723" w:rsidRPr="0040107B" w:rsidRDefault="00144723" w:rsidP="00144723">
            <w:pPr>
              <w:pStyle w:val="Footer"/>
              <w:tabs>
                <w:tab w:val="left" w:pos="1296"/>
              </w:tabs>
              <w:rPr>
                <w:rFonts w:asciiTheme="majorHAnsi" w:hAnsiTheme="majorHAnsi"/>
                <w:sz w:val="22"/>
                <w:szCs w:val="22"/>
                <w:lang w:val="lt-LT"/>
              </w:rPr>
            </w:pPr>
            <w:r w:rsidRPr="0040107B">
              <w:rPr>
                <w:rFonts w:asciiTheme="majorHAnsi" w:hAnsiTheme="majorHAnsi"/>
                <w:b/>
                <w:bCs/>
                <w:sz w:val="22"/>
                <w:szCs w:val="22"/>
                <w:lang w:val="lt-LT"/>
              </w:rPr>
              <w:t>Akumuliatorinė baterija centriniam įrenginiui su maitinimo šaltiniu.</w:t>
            </w:r>
          </w:p>
          <w:p w14:paraId="61D2A519" w14:textId="77777777" w:rsidR="00144723" w:rsidRPr="0040107B" w:rsidRDefault="00144723" w:rsidP="00144723">
            <w:pPr>
              <w:pStyle w:val="Footer"/>
              <w:tabs>
                <w:tab w:val="left" w:pos="0"/>
              </w:tabs>
              <w:rPr>
                <w:rFonts w:asciiTheme="majorHAnsi" w:hAnsiTheme="majorHAnsi"/>
                <w:sz w:val="22"/>
                <w:szCs w:val="22"/>
                <w:lang w:val="lt-LT"/>
              </w:rPr>
            </w:pPr>
            <w:r w:rsidRPr="0040107B">
              <w:rPr>
                <w:rFonts w:asciiTheme="majorHAnsi" w:hAnsiTheme="majorHAnsi"/>
                <w:sz w:val="22"/>
                <w:szCs w:val="22"/>
                <w:lang w:val="lt-LT"/>
              </w:rPr>
              <w:t>Švino-rūgštinė akumuliatorinė baterija 12V, 7Ah turi būti skirta talpinti Sistemos centriniame įrenginyje.</w:t>
            </w:r>
          </w:p>
        </w:tc>
        <w:tc>
          <w:tcPr>
            <w:tcW w:w="1134" w:type="dxa"/>
            <w:tcBorders>
              <w:top w:val="single" w:sz="4" w:space="0" w:color="auto"/>
              <w:left w:val="single" w:sz="4" w:space="0" w:color="auto"/>
              <w:bottom w:val="single" w:sz="4" w:space="0" w:color="auto"/>
              <w:right w:val="single" w:sz="4" w:space="0" w:color="auto"/>
            </w:tcBorders>
          </w:tcPr>
          <w:p w14:paraId="61D2A51A" w14:textId="77777777" w:rsidR="00144723" w:rsidRPr="0040107B" w:rsidRDefault="00144723" w:rsidP="00144723">
            <w:pPr>
              <w:jc w:val="center"/>
              <w:rPr>
                <w:rFonts w:asciiTheme="majorHAnsi" w:hAnsiTheme="majorHAnsi"/>
                <w:sz w:val="22"/>
                <w:szCs w:val="22"/>
              </w:rPr>
            </w:pPr>
            <w:r w:rsidRPr="0040107B">
              <w:rPr>
                <w:rFonts w:asciiTheme="majorHAnsi" w:hAnsiTheme="majorHAnsi"/>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61D2A51B" w14:textId="77777777" w:rsidR="00144723" w:rsidRPr="0040107B" w:rsidRDefault="00144723" w:rsidP="00144723">
            <w:pPr>
              <w:jc w:val="center"/>
              <w:outlineLvl w:val="1"/>
              <w:rPr>
                <w:rFonts w:asciiTheme="majorHAnsi" w:hAnsiTheme="majorHAnsi"/>
              </w:rPr>
            </w:pPr>
            <w:r w:rsidRPr="0040107B">
              <w:rPr>
                <w:rFonts w:asciiTheme="majorHAnsi" w:hAnsiTheme="majorHAnsi"/>
              </w:rPr>
              <w:t>10</w:t>
            </w:r>
          </w:p>
        </w:tc>
      </w:tr>
    </w:tbl>
    <w:p w14:paraId="61D2A51D" w14:textId="77777777" w:rsidR="005D33F9" w:rsidRPr="0040107B" w:rsidRDefault="005D33F9" w:rsidP="00915BA1">
      <w:pPr>
        <w:rPr>
          <w:rFonts w:asciiTheme="majorHAnsi" w:hAnsiTheme="majorHAnsi"/>
          <w:sz w:val="22"/>
          <w:szCs w:val="22"/>
        </w:rPr>
      </w:pPr>
    </w:p>
    <w:p w14:paraId="61D2A51E" w14:textId="77777777" w:rsidR="0075659D" w:rsidRPr="0040107B" w:rsidRDefault="0075659D" w:rsidP="0075659D">
      <w:pPr>
        <w:pStyle w:val="Tekstas"/>
        <w:tabs>
          <w:tab w:val="clear" w:pos="8789"/>
        </w:tabs>
        <w:spacing w:after="120"/>
        <w:ind w:left="851" w:firstLine="360"/>
        <w:jc w:val="left"/>
        <w:rPr>
          <w:rFonts w:asciiTheme="majorHAnsi" w:hAnsiTheme="majorHAnsi"/>
          <w:b/>
          <w:sz w:val="22"/>
          <w:szCs w:val="22"/>
        </w:rPr>
      </w:pPr>
      <w:r w:rsidRPr="0040107B">
        <w:rPr>
          <w:rFonts w:asciiTheme="majorHAnsi" w:hAnsiTheme="majorHAnsi"/>
          <w:b/>
          <w:sz w:val="22"/>
          <w:szCs w:val="22"/>
        </w:rPr>
        <w:t>Papildomi reikalavimai:</w:t>
      </w:r>
    </w:p>
    <w:p w14:paraId="61D2A51F" w14:textId="77777777" w:rsidR="0075659D" w:rsidRPr="0040107B" w:rsidRDefault="0075659D" w:rsidP="0075659D">
      <w:pPr>
        <w:numPr>
          <w:ilvl w:val="0"/>
          <w:numId w:val="9"/>
        </w:numPr>
        <w:suppressAutoHyphens w:val="0"/>
        <w:spacing w:line="276" w:lineRule="auto"/>
        <w:ind w:left="851"/>
        <w:jc w:val="both"/>
        <w:rPr>
          <w:rFonts w:asciiTheme="majorHAnsi" w:hAnsiTheme="majorHAnsi"/>
          <w:noProof/>
          <w:sz w:val="22"/>
          <w:szCs w:val="22"/>
        </w:rPr>
      </w:pPr>
      <w:r w:rsidRPr="0040107B">
        <w:rPr>
          <w:rFonts w:asciiTheme="majorHAnsi" w:hAnsiTheme="majorHAnsi"/>
          <w:noProof/>
          <w:sz w:val="22"/>
          <w:szCs w:val="22"/>
        </w:rPr>
        <w:t xml:space="preserve">Konkurso dalyvio siūlomos prekės techninės charakteristikos turi būti ne blogesnės nei reikalaujamos techninėje specifikacijoje, t.y. siūloma prekė savo savybėmis turi būti lygiavertė techninėje specifikacijoje reikalaujamai arba geresnių techninių parametrų. </w:t>
      </w:r>
      <w:r w:rsidRPr="0040107B">
        <w:rPr>
          <w:rFonts w:asciiTheme="majorHAnsi" w:hAnsiTheme="majorHAnsi"/>
          <w:b/>
          <w:noProof/>
          <w:sz w:val="22"/>
          <w:szCs w:val="22"/>
        </w:rPr>
        <w:t>Kartu su pasiūlymu reikalinga pateikti dokumentus, ar nuorodas, patvirtinančias prekių techninių parametrų atitikimus.</w:t>
      </w:r>
      <w:r w:rsidRPr="0040107B">
        <w:rPr>
          <w:rFonts w:asciiTheme="majorHAnsi" w:hAnsiTheme="majorHAnsi"/>
          <w:noProof/>
          <w:sz w:val="22"/>
          <w:szCs w:val="22"/>
        </w:rPr>
        <w:t xml:space="preserve"> </w:t>
      </w:r>
    </w:p>
    <w:p w14:paraId="61D2A520" w14:textId="77777777" w:rsidR="0075659D" w:rsidRPr="0040107B" w:rsidRDefault="0075659D" w:rsidP="0075659D">
      <w:pPr>
        <w:pStyle w:val="ListParagraph"/>
        <w:numPr>
          <w:ilvl w:val="0"/>
          <w:numId w:val="9"/>
        </w:numPr>
        <w:suppressAutoHyphens w:val="0"/>
        <w:spacing w:line="276" w:lineRule="auto"/>
        <w:ind w:left="851"/>
        <w:jc w:val="both"/>
        <w:rPr>
          <w:rFonts w:asciiTheme="majorHAnsi" w:hAnsiTheme="majorHAnsi"/>
          <w:color w:val="000000"/>
          <w:sz w:val="22"/>
          <w:szCs w:val="22"/>
          <w:lang w:eastAsia="lt-LT"/>
        </w:rPr>
      </w:pPr>
      <w:r w:rsidRPr="0040107B">
        <w:rPr>
          <w:rFonts w:asciiTheme="majorHAnsi" w:hAnsiTheme="majorHAnsi"/>
          <w:noProof/>
          <w:sz w:val="22"/>
          <w:szCs w:val="22"/>
        </w:rPr>
        <w:t xml:space="preserve">Techninės specifikacijos </w:t>
      </w:r>
      <w:r w:rsidRPr="0040107B">
        <w:rPr>
          <w:rFonts w:asciiTheme="majorHAnsi" w:hAnsiTheme="majorHAnsi"/>
          <w:color w:val="000000"/>
          <w:sz w:val="22"/>
          <w:szCs w:val="22"/>
          <w:lang w:eastAsia="lt-LT"/>
        </w:rPr>
        <w:t>lentelėje nurodyti orientaciniai kiekiai naudojami tik pasiūlymų vertinimui/palyginimui, tai nebus sutarties maksimalūs kiekiai, sutartyje bus nurodyti tik prek</w:t>
      </w:r>
      <w:r w:rsidR="00F82889" w:rsidRPr="0040107B">
        <w:rPr>
          <w:rFonts w:asciiTheme="majorHAnsi" w:hAnsiTheme="majorHAnsi"/>
          <w:color w:val="000000"/>
          <w:sz w:val="22"/>
          <w:szCs w:val="22"/>
          <w:lang w:eastAsia="lt-LT"/>
        </w:rPr>
        <w:t>ių įkainiai. Sutarties vertė: 34</w:t>
      </w:r>
      <w:r w:rsidRPr="0040107B">
        <w:rPr>
          <w:rFonts w:asciiTheme="majorHAnsi" w:hAnsiTheme="majorHAnsi"/>
          <w:color w:val="000000"/>
          <w:sz w:val="22"/>
          <w:szCs w:val="22"/>
          <w:lang w:eastAsia="lt-LT"/>
        </w:rPr>
        <w:t xml:space="preserve">000,00 Eur su PVM. </w:t>
      </w:r>
    </w:p>
    <w:p w14:paraId="61D2A521" w14:textId="29FC8E61" w:rsidR="0075659D" w:rsidRPr="0040107B" w:rsidRDefault="0075659D" w:rsidP="0075659D">
      <w:pPr>
        <w:numPr>
          <w:ilvl w:val="0"/>
          <w:numId w:val="9"/>
        </w:numPr>
        <w:suppressAutoHyphens w:val="0"/>
        <w:spacing w:line="276" w:lineRule="auto"/>
        <w:ind w:left="851"/>
        <w:jc w:val="both"/>
        <w:rPr>
          <w:rFonts w:asciiTheme="majorHAnsi" w:hAnsiTheme="majorHAnsi"/>
          <w:noProof/>
          <w:sz w:val="22"/>
          <w:szCs w:val="22"/>
        </w:rPr>
      </w:pPr>
      <w:r w:rsidRPr="0040107B">
        <w:rPr>
          <w:rFonts w:asciiTheme="majorHAnsi" w:hAnsiTheme="majorHAnsi"/>
          <w:noProof/>
          <w:sz w:val="22"/>
          <w:szCs w:val="22"/>
        </w:rPr>
        <w:t>Prekes numatoma užsakyti pagal poreikį, tam tikro dydžio partijomis. Tiekimo terminas ne ilgesnis kaip 20 darbo dienų</w:t>
      </w:r>
      <w:r w:rsidR="0040107B">
        <w:rPr>
          <w:rFonts w:asciiTheme="majorHAnsi" w:hAnsiTheme="majorHAnsi"/>
          <w:noProof/>
          <w:sz w:val="22"/>
          <w:szCs w:val="22"/>
        </w:rPr>
        <w:t xml:space="preserve"> nuo užsakymo pateikimo dienos</w:t>
      </w:r>
      <w:bookmarkStart w:id="0" w:name="_GoBack"/>
      <w:bookmarkEnd w:id="0"/>
      <w:r w:rsidRPr="0040107B">
        <w:rPr>
          <w:rFonts w:asciiTheme="majorHAnsi" w:hAnsiTheme="majorHAnsi"/>
          <w:noProof/>
          <w:sz w:val="22"/>
          <w:szCs w:val="22"/>
        </w:rPr>
        <w:t xml:space="preserve">. Siūlomų prekių kaina turi būti pateikta įvertinant transporto, krovimo ir kitas išlaidas, kurias patiria Tiekėjas pateikdamas prekes iki Užsakovo nurodytos vietos (Eivenių g. 2, Kaunas). Planuojama prekių tiekimo sutartis 24 mėn. laikotarpiui. </w:t>
      </w:r>
    </w:p>
    <w:p w14:paraId="61D2A522" w14:textId="77777777" w:rsidR="0075659D" w:rsidRPr="0040107B" w:rsidRDefault="0075659D" w:rsidP="0075659D">
      <w:pPr>
        <w:numPr>
          <w:ilvl w:val="0"/>
          <w:numId w:val="9"/>
        </w:numPr>
        <w:suppressAutoHyphens w:val="0"/>
        <w:spacing w:line="276" w:lineRule="auto"/>
        <w:ind w:left="851"/>
        <w:jc w:val="both"/>
        <w:rPr>
          <w:rFonts w:asciiTheme="majorHAnsi" w:hAnsiTheme="majorHAnsi"/>
          <w:noProof/>
          <w:sz w:val="22"/>
          <w:szCs w:val="22"/>
        </w:rPr>
      </w:pPr>
      <w:r w:rsidRPr="0040107B">
        <w:rPr>
          <w:rFonts w:asciiTheme="majorHAnsi" w:hAnsiTheme="majorHAnsi"/>
          <w:sz w:val="22"/>
          <w:szCs w:val="22"/>
        </w:rPr>
        <w:t xml:space="preserve">Vadovaujantis </w:t>
      </w:r>
      <w:r w:rsidRPr="0040107B">
        <w:rPr>
          <w:rStyle w:val="Hyperlink"/>
          <w:rFonts w:asciiTheme="majorHAnsi" w:hAnsiTheme="majorHAnsi"/>
          <w:color w:val="auto"/>
          <w:spacing w:val="2"/>
          <w:sz w:val="22"/>
          <w:szCs w:val="22"/>
          <w:u w:val="none"/>
          <w:shd w:val="clear" w:color="auto" w:fill="FFFFFF"/>
        </w:rPr>
        <w:t>Lietuvos Respublikos aplinkos ministro 2011 m. birželio 28 d. įsakymo Nr. D1-508 „Dėl aplinkos apsaugos kriterijų taikymo, vykdant žaliuosius pirkimus, tvarkos aprašo patvirtinimo"</w:t>
      </w:r>
      <w:r w:rsidRPr="0040107B">
        <w:rPr>
          <w:rFonts w:asciiTheme="majorHAnsi" w:hAnsiTheme="majorHAnsi"/>
          <w:spacing w:val="2"/>
          <w:sz w:val="22"/>
          <w:szCs w:val="22"/>
          <w:shd w:val="clear" w:color="auto" w:fill="FFFFFF"/>
        </w:rPr>
        <w:t xml:space="preserve"> ir </w:t>
      </w:r>
      <w:r w:rsidRPr="0040107B">
        <w:rPr>
          <w:rFonts w:asciiTheme="majorHAnsi" w:hAnsiTheme="majorHAnsi"/>
          <w:sz w:val="22"/>
          <w:szCs w:val="22"/>
        </w:rPr>
        <w:t xml:space="preserve">siekiant sumažinti CO2 išmetimą į aplinką, Tiekėjas turi įsipareigoti Prekes pristatyti ne piko metu. Siekiant aiškumo, ne piko metas laikytinas laikas nuo 10.00 iki 15.00 valandos. </w:t>
      </w:r>
      <w:r w:rsidRPr="0040107B">
        <w:rPr>
          <w:rFonts w:asciiTheme="majorHAnsi" w:hAnsiTheme="majorHAnsi"/>
          <w:b/>
          <w:sz w:val="22"/>
          <w:szCs w:val="22"/>
        </w:rPr>
        <w:t>Pateikti oficialų įmonės raštą, patvirtinantį šį kriterijų.</w:t>
      </w:r>
    </w:p>
    <w:p w14:paraId="61D2A523" w14:textId="77777777" w:rsidR="00E3730B" w:rsidRPr="0040107B" w:rsidRDefault="00E3730B" w:rsidP="00915BA1">
      <w:pPr>
        <w:rPr>
          <w:rFonts w:asciiTheme="majorHAnsi" w:hAnsiTheme="majorHAnsi"/>
          <w:sz w:val="22"/>
          <w:szCs w:val="22"/>
        </w:rPr>
      </w:pPr>
    </w:p>
    <w:sectPr w:rsidR="00E3730B" w:rsidRPr="0040107B" w:rsidSect="0075659D">
      <w:pgSz w:w="12240" w:h="15840"/>
      <w:pgMar w:top="426" w:right="616" w:bottom="1239" w:left="14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C199C" w14:textId="77777777" w:rsidR="000F4338" w:rsidRDefault="000F4338" w:rsidP="001D2568">
      <w:r>
        <w:separator/>
      </w:r>
    </w:p>
  </w:endnote>
  <w:endnote w:type="continuationSeparator" w:id="0">
    <w:p w14:paraId="6B1F3E1D" w14:textId="77777777" w:rsidR="000F4338" w:rsidRDefault="000F4338" w:rsidP="001D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39FD" w14:textId="77777777" w:rsidR="000F4338" w:rsidRDefault="000F4338" w:rsidP="001D2568">
      <w:r>
        <w:separator/>
      </w:r>
    </w:p>
  </w:footnote>
  <w:footnote w:type="continuationSeparator" w:id="0">
    <w:p w14:paraId="0C6D4B8C" w14:textId="77777777" w:rsidR="000F4338" w:rsidRDefault="000F4338" w:rsidP="001D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A1F"/>
    <w:multiLevelType w:val="hybridMultilevel"/>
    <w:tmpl w:val="95CC421E"/>
    <w:lvl w:ilvl="0" w:tplc="569C29B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AD7D12"/>
    <w:multiLevelType w:val="hybridMultilevel"/>
    <w:tmpl w:val="E96427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A97FA6"/>
    <w:multiLevelType w:val="hybridMultilevel"/>
    <w:tmpl w:val="2508221E"/>
    <w:lvl w:ilvl="0" w:tplc="2F62178E">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44840E4"/>
    <w:multiLevelType w:val="hybridMultilevel"/>
    <w:tmpl w:val="D6E81284"/>
    <w:lvl w:ilvl="0" w:tplc="F44CC3F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C31B44"/>
    <w:multiLevelType w:val="hybridMultilevel"/>
    <w:tmpl w:val="EB500ABE"/>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hint="default"/>
      </w:rPr>
    </w:lvl>
    <w:lvl w:ilvl="2" w:tplc="9842ABE8">
      <w:start w:val="9"/>
      <w:numFmt w:val="bullet"/>
      <w:lvlText w:val="-"/>
      <w:lvlJc w:val="left"/>
      <w:pPr>
        <w:tabs>
          <w:tab w:val="num" w:pos="2340"/>
        </w:tabs>
        <w:ind w:left="2340" w:hanging="360"/>
      </w:pPr>
      <w:rPr>
        <w:rFonts w:ascii="Times New Roman" w:eastAsia="Times New Roman" w:hAnsi="Times New Roman" w:cs="Times New Roman"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4545EF9"/>
    <w:multiLevelType w:val="hybridMultilevel"/>
    <w:tmpl w:val="4B44D778"/>
    <w:lvl w:ilvl="0" w:tplc="EF44B108">
      <w:start w:val="1"/>
      <w:numFmt w:val="decimal"/>
      <w:lvlText w:val="%1."/>
      <w:lvlJc w:val="left"/>
      <w:pPr>
        <w:tabs>
          <w:tab w:val="num" w:pos="644"/>
        </w:tabs>
        <w:ind w:left="644" w:hanging="360"/>
      </w:pPr>
      <w:rPr>
        <w:b w:val="0"/>
      </w:rPr>
    </w:lvl>
    <w:lvl w:ilvl="1" w:tplc="C264F462">
      <w:start w:val="1"/>
      <w:numFmt w:val="decimal"/>
      <w:lvlText w:val="%2)"/>
      <w:lvlJc w:val="left"/>
      <w:pPr>
        <w:tabs>
          <w:tab w:val="num" w:pos="1364"/>
        </w:tabs>
        <w:ind w:left="1364" w:hanging="360"/>
      </w:pPr>
      <w:rPr>
        <w:rFonts w:hint="default"/>
      </w:r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6" w15:restartNumberingAfterBreak="0">
    <w:nsid w:val="65467627"/>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A07631B"/>
    <w:multiLevelType w:val="hybridMultilevel"/>
    <w:tmpl w:val="85DCC1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AA87F6C"/>
    <w:multiLevelType w:val="hybridMultilevel"/>
    <w:tmpl w:val="43B61694"/>
    <w:lvl w:ilvl="0" w:tplc="C3D2EC84">
      <w:numFmt w:val="bullet"/>
      <w:lvlText w:val="-"/>
      <w:lvlJc w:val="left"/>
      <w:pPr>
        <w:ind w:left="720" w:hanging="360"/>
      </w:pPr>
      <w:rPr>
        <w:rFonts w:ascii="TimesLT" w:eastAsia="Times New Roman" w:hAnsi="TimesL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7"/>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45"/>
    <w:rsid w:val="00016310"/>
    <w:rsid w:val="0002343B"/>
    <w:rsid w:val="000330E6"/>
    <w:rsid w:val="00072385"/>
    <w:rsid w:val="000A6ECA"/>
    <w:rsid w:val="000B5434"/>
    <w:rsid w:val="000F4338"/>
    <w:rsid w:val="00111ADD"/>
    <w:rsid w:val="001433EA"/>
    <w:rsid w:val="00144723"/>
    <w:rsid w:val="001479F1"/>
    <w:rsid w:val="00156A5F"/>
    <w:rsid w:val="00163437"/>
    <w:rsid w:val="001B066D"/>
    <w:rsid w:val="001D2568"/>
    <w:rsid w:val="001F7B04"/>
    <w:rsid w:val="00234F99"/>
    <w:rsid w:val="002C301D"/>
    <w:rsid w:val="00335FA0"/>
    <w:rsid w:val="00384EBE"/>
    <w:rsid w:val="003B14ED"/>
    <w:rsid w:val="003F6F25"/>
    <w:rsid w:val="0040107B"/>
    <w:rsid w:val="00425C86"/>
    <w:rsid w:val="00446744"/>
    <w:rsid w:val="0046273F"/>
    <w:rsid w:val="004E59B6"/>
    <w:rsid w:val="0050673C"/>
    <w:rsid w:val="00513663"/>
    <w:rsid w:val="005408A8"/>
    <w:rsid w:val="005752A6"/>
    <w:rsid w:val="00582AA1"/>
    <w:rsid w:val="005D33F9"/>
    <w:rsid w:val="005E4600"/>
    <w:rsid w:val="005F5C6C"/>
    <w:rsid w:val="0066226F"/>
    <w:rsid w:val="00677550"/>
    <w:rsid w:val="006D313E"/>
    <w:rsid w:val="006E39DA"/>
    <w:rsid w:val="006F3AA7"/>
    <w:rsid w:val="006F4C45"/>
    <w:rsid w:val="00726676"/>
    <w:rsid w:val="007514C8"/>
    <w:rsid w:val="0075659D"/>
    <w:rsid w:val="00780FE7"/>
    <w:rsid w:val="007C4542"/>
    <w:rsid w:val="007D0304"/>
    <w:rsid w:val="007E40DA"/>
    <w:rsid w:val="00817FF6"/>
    <w:rsid w:val="00824022"/>
    <w:rsid w:val="00826766"/>
    <w:rsid w:val="0084601A"/>
    <w:rsid w:val="0084680F"/>
    <w:rsid w:val="00853A59"/>
    <w:rsid w:val="00892F54"/>
    <w:rsid w:val="00893CFC"/>
    <w:rsid w:val="008B1820"/>
    <w:rsid w:val="008B5637"/>
    <w:rsid w:val="00907159"/>
    <w:rsid w:val="00915BA1"/>
    <w:rsid w:val="009C5AB3"/>
    <w:rsid w:val="009C740B"/>
    <w:rsid w:val="009C795C"/>
    <w:rsid w:val="00A20974"/>
    <w:rsid w:val="00A47656"/>
    <w:rsid w:val="00AA4E65"/>
    <w:rsid w:val="00AA52E5"/>
    <w:rsid w:val="00AB09CC"/>
    <w:rsid w:val="00AE7F58"/>
    <w:rsid w:val="00B111D9"/>
    <w:rsid w:val="00B1473C"/>
    <w:rsid w:val="00B44F3B"/>
    <w:rsid w:val="00BA4925"/>
    <w:rsid w:val="00BF55F4"/>
    <w:rsid w:val="00C15796"/>
    <w:rsid w:val="00C312D1"/>
    <w:rsid w:val="00C97581"/>
    <w:rsid w:val="00CC548B"/>
    <w:rsid w:val="00CD6305"/>
    <w:rsid w:val="00D06A56"/>
    <w:rsid w:val="00D41494"/>
    <w:rsid w:val="00D5752C"/>
    <w:rsid w:val="00D71402"/>
    <w:rsid w:val="00DA3529"/>
    <w:rsid w:val="00DB6F25"/>
    <w:rsid w:val="00DF3770"/>
    <w:rsid w:val="00E3730B"/>
    <w:rsid w:val="00E57801"/>
    <w:rsid w:val="00E7411E"/>
    <w:rsid w:val="00EF0A29"/>
    <w:rsid w:val="00F42B9F"/>
    <w:rsid w:val="00F651BC"/>
    <w:rsid w:val="00F71E11"/>
    <w:rsid w:val="00F82889"/>
    <w:rsid w:val="00F87DCE"/>
    <w:rsid w:val="00FF068D"/>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A4D5"/>
  <w15:docId w15:val="{407B1809-F931-4198-8C28-95A7559B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550"/>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4C45"/>
    <w:pPr>
      <w:tabs>
        <w:tab w:val="center" w:pos="4513"/>
        <w:tab w:val="right" w:pos="9026"/>
      </w:tabs>
      <w:suppressAutoHyphens w:val="0"/>
    </w:pPr>
    <w:rPr>
      <w:rFonts w:ascii="TimesLT" w:hAnsi="TimesLT"/>
      <w:szCs w:val="20"/>
      <w:lang w:val="en-US" w:eastAsia="en-US"/>
    </w:rPr>
  </w:style>
  <w:style w:type="character" w:customStyle="1" w:styleId="FooterChar">
    <w:name w:val="Footer Char"/>
    <w:basedOn w:val="DefaultParagraphFont"/>
    <w:link w:val="Footer"/>
    <w:uiPriority w:val="99"/>
    <w:rsid w:val="006F4C45"/>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44F3B"/>
    <w:pPr>
      <w:suppressAutoHyphens w:val="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B44F3B"/>
    <w:rPr>
      <w:rFonts w:ascii="Tahoma" w:eastAsia="Calibri" w:hAnsi="Tahoma" w:cs="Tahoma"/>
      <w:sz w:val="16"/>
      <w:szCs w:val="16"/>
      <w:lang w:val="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C15796"/>
    <w:pPr>
      <w:ind w:left="720"/>
      <w:contextualSpacing/>
    </w:pPr>
  </w:style>
  <w:style w:type="paragraph" w:styleId="FootnoteText">
    <w:name w:val="footnote text"/>
    <w:basedOn w:val="Normal"/>
    <w:link w:val="FootnoteTextChar"/>
    <w:uiPriority w:val="99"/>
    <w:semiHidden/>
    <w:unhideWhenUsed/>
    <w:rsid w:val="001D2568"/>
    <w:rPr>
      <w:sz w:val="20"/>
      <w:szCs w:val="20"/>
    </w:rPr>
  </w:style>
  <w:style w:type="character" w:customStyle="1" w:styleId="FootnoteTextChar">
    <w:name w:val="Footnote Text Char"/>
    <w:basedOn w:val="DefaultParagraphFont"/>
    <w:link w:val="FootnoteText"/>
    <w:uiPriority w:val="99"/>
    <w:semiHidden/>
    <w:rsid w:val="001D2568"/>
    <w:rPr>
      <w:rFonts w:ascii="Times New Roman" w:eastAsia="Times New Roman" w:hAnsi="Times New Roman" w:cs="Times New Roman"/>
      <w:sz w:val="20"/>
      <w:szCs w:val="20"/>
      <w:lang w:val="lt-LT" w:eastAsia="zh-CN"/>
    </w:rPr>
  </w:style>
  <w:style w:type="character" w:styleId="FootnoteReference">
    <w:name w:val="footnote reference"/>
    <w:basedOn w:val="DefaultParagraphFont"/>
    <w:uiPriority w:val="99"/>
    <w:semiHidden/>
    <w:unhideWhenUsed/>
    <w:rsid w:val="001D2568"/>
    <w:rPr>
      <w:vertAlign w:val="superscript"/>
    </w:rPr>
  </w:style>
  <w:style w:type="paragraph" w:styleId="Header">
    <w:name w:val="header"/>
    <w:basedOn w:val="Normal"/>
    <w:link w:val="HeaderChar"/>
    <w:uiPriority w:val="99"/>
    <w:semiHidden/>
    <w:unhideWhenUsed/>
    <w:rsid w:val="00E3730B"/>
    <w:pPr>
      <w:tabs>
        <w:tab w:val="center" w:pos="4819"/>
        <w:tab w:val="right" w:pos="9638"/>
      </w:tabs>
    </w:pPr>
  </w:style>
  <w:style w:type="character" w:customStyle="1" w:styleId="HeaderChar">
    <w:name w:val="Header Char"/>
    <w:basedOn w:val="DefaultParagraphFont"/>
    <w:link w:val="Header"/>
    <w:uiPriority w:val="99"/>
    <w:semiHidden/>
    <w:rsid w:val="00E3730B"/>
    <w:rPr>
      <w:rFonts w:ascii="Times New Roman" w:eastAsia="Times New Roman" w:hAnsi="Times New Roman" w:cs="Times New Roman"/>
      <w:sz w:val="24"/>
      <w:szCs w:val="24"/>
      <w:lang w:val="lt-LT" w:eastAsia="zh-CN"/>
    </w:rPr>
  </w:style>
  <w:style w:type="paragraph" w:styleId="BodyTextIndent3">
    <w:name w:val="Body Text Indent 3"/>
    <w:basedOn w:val="Normal"/>
    <w:link w:val="BodyTextIndent3Char"/>
    <w:rsid w:val="00E3730B"/>
    <w:pPr>
      <w:tabs>
        <w:tab w:val="left" w:pos="2552"/>
      </w:tabs>
      <w:suppressAutoHyphens w:val="0"/>
      <w:overflowPunct w:val="0"/>
      <w:autoSpaceDE w:val="0"/>
      <w:autoSpaceDN w:val="0"/>
      <w:adjustRightInd w:val="0"/>
      <w:spacing w:before="120"/>
      <w:ind w:left="2595" w:hanging="2595"/>
      <w:jc w:val="both"/>
      <w:textAlignment w:val="baseline"/>
    </w:pPr>
    <w:rPr>
      <w:noProof/>
      <w:sz w:val="22"/>
      <w:szCs w:val="20"/>
      <w:lang w:eastAsia="lt-LT"/>
    </w:rPr>
  </w:style>
  <w:style w:type="character" w:customStyle="1" w:styleId="BodyTextIndent3Char">
    <w:name w:val="Body Text Indent 3 Char"/>
    <w:basedOn w:val="DefaultParagraphFont"/>
    <w:link w:val="BodyTextIndent3"/>
    <w:rsid w:val="00E3730B"/>
    <w:rPr>
      <w:rFonts w:ascii="Times New Roman" w:eastAsia="Times New Roman" w:hAnsi="Times New Roman" w:cs="Times New Roman"/>
      <w:noProof/>
      <w:szCs w:val="20"/>
      <w:lang w:val="lt-LT" w:eastAsia="lt-LT"/>
    </w:rPr>
  </w:style>
  <w:style w:type="paragraph" w:customStyle="1" w:styleId="Standard">
    <w:name w:val="Standard"/>
    <w:rsid w:val="00234F99"/>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Tekstas">
    <w:name w:val="Tekstas"/>
    <w:basedOn w:val="Normal"/>
    <w:rsid w:val="00234F99"/>
    <w:pPr>
      <w:widowControl w:val="0"/>
      <w:tabs>
        <w:tab w:val="right" w:leader="underscore" w:pos="8789"/>
      </w:tabs>
      <w:suppressAutoHyphens w:val="0"/>
      <w:spacing w:line="360" w:lineRule="auto"/>
      <w:jc w:val="both"/>
    </w:pPr>
    <w:rPr>
      <w:szCs w:val="20"/>
      <w:lang w:eastAsia="en-US"/>
    </w:rPr>
  </w:style>
  <w:style w:type="character" w:styleId="Hyperlink">
    <w:name w:val="Hyperlink"/>
    <w:basedOn w:val="DefaultParagraphFont"/>
    <w:uiPriority w:val="99"/>
    <w:semiHidden/>
    <w:unhideWhenUsed/>
    <w:rsid w:val="0075659D"/>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75659D"/>
    <w:rPr>
      <w:rFonts w:ascii="Times New Roman" w:eastAsia="Times New Roma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9CF8-A04B-4539-9465-8AF770C8B7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C7B47F-6B6D-465F-A684-9E5AFA861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9ED12B-3543-4AA5-BB0D-47EE7AE3B6BB}">
  <ds:schemaRefs>
    <ds:schemaRef ds:uri="http://schemas.microsoft.com/sharepoint/v3/contenttype/forms"/>
  </ds:schemaRefs>
</ds:datastoreItem>
</file>

<file path=customXml/itemProps4.xml><?xml version="1.0" encoding="utf-8"?>
<ds:datastoreItem xmlns:ds="http://schemas.openxmlformats.org/officeDocument/2006/customXml" ds:itemID="{4C289F79-0170-4B32-BDD6-A5FCA726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DariusP</dc:creator>
  <cp:lastModifiedBy>Lina Glebė</cp:lastModifiedBy>
  <cp:revision>3</cp:revision>
  <cp:lastPrinted>2018-05-07T05:08:00Z</cp:lastPrinted>
  <dcterms:created xsi:type="dcterms:W3CDTF">2025-09-18T06:29:00Z</dcterms:created>
  <dcterms:modified xsi:type="dcterms:W3CDTF">2025-10-23T13:54:00Z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