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5005AD39" w:rsidR="00D526C8" w:rsidRPr="00A65750" w:rsidRDefault="003D1A47"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Pr="003D1A47">
            <w:rPr>
              <w:rFonts w:ascii="Times New Roman" w:hAnsi="Times New Roman" w:cs="Times New Roman"/>
              <w:b/>
              <w:bCs/>
              <w:sz w:val="24"/>
              <w:szCs w:val="24"/>
            </w:rPr>
            <w:t>1.1.1.</w:t>
          </w:r>
          <w:r w:rsidR="00B85E09">
            <w:rPr>
              <w:rFonts w:ascii="Times New Roman" w:hAnsi="Times New Roman" w:cs="Times New Roman"/>
              <w:b/>
              <w:bCs/>
              <w:sz w:val="24"/>
              <w:szCs w:val="24"/>
            </w:rPr>
            <w:t>2</w:t>
          </w:r>
          <w:r w:rsidRPr="003D1A47">
            <w:rPr>
              <w:rFonts w:ascii="Times New Roman" w:hAnsi="Times New Roman" w:cs="Times New Roman"/>
              <w:b/>
              <w:bCs/>
              <w:sz w:val="24"/>
              <w:szCs w:val="24"/>
            </w:rPr>
            <w:t xml:space="preserve">. </w:t>
          </w:r>
          <w:r w:rsidR="00B85E09">
            <w:rPr>
              <w:rFonts w:ascii="Times New Roman" w:hAnsi="Times New Roman" w:cs="Times New Roman"/>
              <w:b/>
              <w:bCs/>
              <w:sz w:val="24"/>
              <w:szCs w:val="24"/>
            </w:rPr>
            <w:t xml:space="preserve">APŠVIETIMO IR JO TVIRTINIMO </w:t>
          </w:r>
          <w:r w:rsidR="004C09A7">
            <w:rPr>
              <w:rFonts w:ascii="Times New Roman" w:hAnsi="Times New Roman" w:cs="Times New Roman"/>
              <w:b/>
              <w:bCs/>
              <w:sz w:val="24"/>
              <w:szCs w:val="24"/>
            </w:rPr>
            <w:t>ĮRANGA</w:t>
          </w:r>
          <w:r>
            <w:rPr>
              <w:rFonts w:ascii="Times New Roman" w:hAnsi="Times New Roman" w:cs="Times New Roman"/>
              <w:b/>
              <w:bCs/>
              <w:sz w:val="24"/>
              <w:szCs w:val="24"/>
            </w:rPr>
            <w:t>“</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B421C4"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B421C4"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B421C4"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B421C4"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B421C4"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B421C4"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B421C4"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B421C4"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77777777" w:rsidR="00CD6F56" w:rsidRPr="00236F19"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7AEA14B5"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524979">
        <w:rPr>
          <w:rFonts w:ascii="Times New Roman" w:hAnsi="Times New Roman" w:cs="Times New Roman"/>
          <w:color w:val="385623" w:themeColor="accent6" w:themeShade="80"/>
          <w:sz w:val="24"/>
          <w:szCs w:val="24"/>
        </w:rPr>
        <w:t>4.</w:t>
      </w:r>
      <w:r w:rsidR="00420527" w:rsidRPr="00524979">
        <w:rPr>
          <w:rFonts w:ascii="Times New Roman" w:hAnsi="Times New Roman" w:cs="Times New Roman"/>
          <w:color w:val="385623" w:themeColor="accent6" w:themeShade="80"/>
          <w:sz w:val="24"/>
          <w:szCs w:val="24"/>
        </w:rPr>
        <w:t>4.4.</w:t>
      </w:r>
      <w:r w:rsidR="006D3115" w:rsidRPr="00524979">
        <w:rPr>
          <w:rFonts w:ascii="Times New Roman" w:hAnsi="Times New Roman" w:cs="Times New Roman"/>
          <w:color w:val="385623" w:themeColor="accent6" w:themeShade="80"/>
          <w:sz w:val="24"/>
          <w:szCs w:val="24"/>
        </w:rPr>
        <w:t xml:space="preserve"> punktu</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1AC738CD"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B85E09">
        <w:rPr>
          <w:rFonts w:ascii="Times New Roman" w:eastAsia="Calibri" w:hAnsi="Times New Roman" w:cs="Times New Roman"/>
          <w:b/>
          <w:color w:val="000000" w:themeColor="text1"/>
          <w:sz w:val="24"/>
          <w:szCs w:val="24"/>
        </w:rPr>
        <w:t>apšvietimo ir jo tvirtinimo</w:t>
      </w:r>
      <w:r w:rsidR="004C09A7" w:rsidRPr="004C09A7">
        <w:rPr>
          <w:rFonts w:ascii="Times New Roman" w:eastAsia="Calibri" w:hAnsi="Times New Roman" w:cs="Times New Roman"/>
          <w:b/>
          <w:color w:val="000000" w:themeColor="text1"/>
          <w:sz w:val="24"/>
          <w:szCs w:val="24"/>
        </w:rPr>
        <w:t xml:space="preserve"> įrangą</w:t>
      </w:r>
      <w:r w:rsidR="003D1A47" w:rsidRPr="00ED75D6">
        <w:rPr>
          <w:rFonts w:ascii="Times New Roman" w:eastAsia="Calibri" w:hAnsi="Times New Roman" w:cs="Times New Roman"/>
          <w:b/>
          <w:color w:val="000000" w:themeColor="text1"/>
          <w:sz w:val="24"/>
          <w:szCs w:val="24"/>
        </w:rPr>
        <w:t xml:space="preserve">, </w:t>
      </w:r>
      <w:r w:rsidR="003D1A47" w:rsidRPr="00ED75D6">
        <w:rPr>
          <w:rFonts w:ascii="Times New Roman" w:eastAsia="Calibri" w:hAnsi="Times New Roman" w:cs="Times New Roman"/>
          <w:color w:val="000000" w:themeColor="text1"/>
          <w:sz w:val="24"/>
          <w:szCs w:val="24"/>
        </w:rPr>
        <w:t xml:space="preserve">viso </w:t>
      </w:r>
      <w:r w:rsidR="00210325" w:rsidRPr="00ED75D6">
        <w:rPr>
          <w:rFonts w:ascii="Times New Roman" w:eastAsia="Calibri" w:hAnsi="Times New Roman" w:cs="Times New Roman"/>
          <w:color w:val="000000" w:themeColor="text1"/>
          <w:sz w:val="24"/>
          <w:szCs w:val="24"/>
        </w:rPr>
        <w:t>46 vnt</w:t>
      </w:r>
      <w:r w:rsidR="00ED75D6" w:rsidRPr="00ED75D6">
        <w:rPr>
          <w:rFonts w:ascii="Times New Roman" w:eastAsia="Calibri" w:hAnsi="Times New Roman" w:cs="Times New Roman"/>
          <w:color w:val="000000" w:themeColor="text1"/>
          <w:sz w:val="24"/>
          <w:szCs w:val="24"/>
        </w:rPr>
        <w:t>.</w:t>
      </w:r>
      <w:r w:rsidR="00ED25B6" w:rsidRPr="00D71F8A">
        <w:rPr>
          <w:rFonts w:ascii="Times New Roman" w:eastAsia="Calibri" w:hAnsi="Times New Roman" w:cs="Times New Roman"/>
          <w:color w:val="000000" w:themeColor="text1"/>
          <w:sz w:val="24"/>
          <w:szCs w:val="24"/>
        </w:rPr>
        <w:t xml:space="preserve">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 xml:space="preserve">pristatytos </w:t>
      </w:r>
      <w:r w:rsidR="003D1A47">
        <w:rPr>
          <w:rFonts w:ascii="Times New Roman" w:hAnsi="Times New Roman" w:cs="Times New Roman"/>
          <w:bCs/>
          <w:sz w:val="24"/>
          <w:szCs w:val="24"/>
        </w:rPr>
        <w:t>Olandų</w:t>
      </w:r>
      <w:r w:rsidR="00ED25B6" w:rsidRPr="00D71F8A">
        <w:rPr>
          <w:rFonts w:ascii="Times New Roman" w:hAnsi="Times New Roman" w:cs="Times New Roman"/>
          <w:bCs/>
          <w:sz w:val="24"/>
          <w:szCs w:val="24"/>
        </w:rPr>
        <w:t xml:space="preserve"> g. 1</w:t>
      </w:r>
      <w:r w:rsidR="003D1A47">
        <w:rPr>
          <w:rFonts w:ascii="Times New Roman" w:hAnsi="Times New Roman" w:cs="Times New Roman"/>
          <w:bCs/>
          <w:sz w:val="24"/>
          <w:szCs w:val="24"/>
        </w:rPr>
        <w:t>6</w:t>
      </w:r>
      <w:r w:rsidR="00ED25B6" w:rsidRPr="00D71F8A">
        <w:rPr>
          <w:rFonts w:ascii="Times New Roman" w:hAnsi="Times New Roman" w:cs="Times New Roman"/>
          <w:bCs/>
          <w:sz w:val="24"/>
          <w:szCs w:val="24"/>
        </w:rPr>
        <w:t>, Vilnius</w:t>
      </w:r>
      <w:r w:rsidR="00ED25B6" w:rsidRPr="00D71F8A">
        <w:rPr>
          <w:rFonts w:ascii="Times New Roman" w:hAnsi="Times New Roman" w:cs="Times New Roman"/>
          <w:b/>
          <w:sz w:val="24"/>
          <w:szCs w:val="24"/>
        </w:rPr>
        <w:t xml:space="preserve"> </w:t>
      </w:r>
      <w:r w:rsidR="00E06B8C" w:rsidRPr="00D71F8A">
        <w:rPr>
          <w:rFonts w:ascii="Times New Roman" w:hAnsi="Times New Roman" w:cs="Times New Roman"/>
          <w:b/>
          <w:sz w:val="24"/>
          <w:szCs w:val="24"/>
        </w:rPr>
        <w:t xml:space="preserve">per </w:t>
      </w:r>
      <w:r w:rsidR="004C09A7">
        <w:rPr>
          <w:rFonts w:ascii="Times New Roman" w:hAnsi="Times New Roman" w:cs="Times New Roman"/>
          <w:b/>
          <w:sz w:val="24"/>
          <w:szCs w:val="24"/>
        </w:rPr>
        <w:t>2</w:t>
      </w:r>
      <w:r w:rsidR="00E06B8C" w:rsidRPr="00D71F8A">
        <w:rPr>
          <w:rFonts w:ascii="Times New Roman" w:hAnsi="Times New Roman" w:cs="Times New Roman"/>
          <w:b/>
          <w:sz w:val="24"/>
          <w:szCs w:val="24"/>
        </w:rPr>
        <w:t xml:space="preserve"> (</w:t>
      </w:r>
      <w:r w:rsidR="004C09A7">
        <w:rPr>
          <w:rFonts w:ascii="Times New Roman" w:hAnsi="Times New Roman" w:cs="Times New Roman"/>
          <w:b/>
          <w:sz w:val="24"/>
          <w:szCs w:val="24"/>
        </w:rPr>
        <w:t>du</w:t>
      </w:r>
      <w:r w:rsidR="00E06B8C" w:rsidRPr="00D71F8A">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 xml:space="preserve">sutarties </w:t>
      </w:r>
      <w:r w:rsidR="002C0CE2">
        <w:rPr>
          <w:rFonts w:ascii="Times New Roman" w:hAnsi="Times New Roman" w:cs="Times New Roman"/>
          <w:sz w:val="24"/>
          <w:szCs w:val="24"/>
        </w:rPr>
        <w:t>įsigaliojimo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w:t>
      </w:r>
      <w:r w:rsidR="00897693">
        <w:rPr>
          <w:rFonts w:ascii="Times New Roman" w:hAnsi="Times New Roman" w:cs="Times New Roman"/>
          <w:sz w:val="24"/>
          <w:szCs w:val="24"/>
        </w:rPr>
        <w:t xml:space="preserve"> </w:t>
      </w:r>
      <w:r w:rsidR="00FB3C75" w:rsidRPr="00D71F8A">
        <w:rPr>
          <w:rFonts w:ascii="Times New Roman" w:hAnsi="Times New Roman" w:cs="Times New Roman"/>
          <w:sz w:val="24"/>
          <w:szCs w:val="24"/>
        </w:rPr>
        <w:t>nustatyt</w:t>
      </w:r>
      <w:r w:rsidR="00897693">
        <w:rPr>
          <w:rFonts w:ascii="Times New Roman" w:hAnsi="Times New Roman" w:cs="Times New Roman"/>
          <w:sz w:val="24"/>
          <w:szCs w:val="24"/>
        </w:rPr>
        <w: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priede.</w:t>
      </w:r>
    </w:p>
    <w:p w14:paraId="49117D58" w14:textId="792DDA44" w:rsidR="005D280D" w:rsidRPr="00CA7810" w:rsidRDefault="002C41AA" w:rsidP="009C4DA6">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pirkimo objekto apimčiai</w:t>
      </w:r>
      <w:r w:rsidR="00E903AB" w:rsidRPr="00ED75D6">
        <w:rPr>
          <w:rFonts w:ascii="Times New Roman" w:hAnsi="Times New Roman" w:cs="Times New Roman"/>
          <w:sz w:val="24"/>
          <w:szCs w:val="24"/>
        </w:rPr>
        <w:t xml:space="preserve">. </w:t>
      </w:r>
      <w:r w:rsidR="00702B7B" w:rsidRPr="00ED75D6">
        <w:rPr>
          <w:rFonts w:ascii="Times New Roman" w:hAnsi="Times New Roman" w:cs="Times New Roman"/>
          <w:sz w:val="24"/>
          <w:szCs w:val="24"/>
        </w:rPr>
        <w:t>Pirkimo apimtys,</w:t>
      </w:r>
      <w:r w:rsidR="00897693" w:rsidRPr="00ED75D6">
        <w:t xml:space="preserve"> </w:t>
      </w:r>
      <w:r w:rsidR="00897693" w:rsidRPr="00ED75D6">
        <w:rPr>
          <w:rFonts w:ascii="Times New Roman" w:hAnsi="Times New Roman" w:cs="Times New Roman"/>
          <w:sz w:val="24"/>
          <w:szCs w:val="24"/>
        </w:rPr>
        <w:t>konkretūs kiekiai,</w:t>
      </w:r>
      <w:r w:rsidR="00702B7B" w:rsidRPr="00ED75D6">
        <w:rPr>
          <w:rFonts w:ascii="Times New Roman" w:hAnsi="Times New Roman" w:cs="Times New Roman"/>
          <w:sz w:val="24"/>
          <w:szCs w:val="24"/>
        </w:rPr>
        <w:t xml:space="preserve"> reikalavimai ir techninė specifikacija apibrėžti </w:t>
      </w:r>
      <w:r w:rsidR="00C314B2" w:rsidRPr="00ED75D6">
        <w:rPr>
          <w:rFonts w:ascii="Times New Roman" w:hAnsi="Times New Roman" w:cs="Times New Roman"/>
          <w:sz w:val="24"/>
          <w:szCs w:val="24"/>
        </w:rPr>
        <w:t>s</w:t>
      </w:r>
      <w:r w:rsidR="000B6976" w:rsidRPr="00ED75D6">
        <w:rPr>
          <w:rFonts w:ascii="Times New Roman" w:hAnsi="Times New Roman" w:cs="Times New Roman"/>
          <w:sz w:val="24"/>
          <w:szCs w:val="24"/>
        </w:rPr>
        <w:t>pecialiųjų p</w:t>
      </w:r>
      <w:r w:rsidR="00702B7B" w:rsidRPr="00ED75D6">
        <w:rPr>
          <w:rFonts w:ascii="Times New Roman" w:hAnsi="Times New Roman" w:cs="Times New Roman"/>
          <w:sz w:val="24"/>
          <w:szCs w:val="24"/>
        </w:rPr>
        <w:t xml:space="preserve">irkimo sąlygų </w:t>
      </w:r>
      <w:r w:rsidR="00C258C3" w:rsidRPr="00ED75D6">
        <w:rPr>
          <w:rFonts w:ascii="Times New Roman" w:hAnsi="Times New Roman" w:cs="Times New Roman"/>
          <w:sz w:val="24"/>
          <w:szCs w:val="24"/>
        </w:rPr>
        <w:t xml:space="preserve">2 </w:t>
      </w:r>
      <w:r w:rsidR="00702B7B" w:rsidRPr="00ED75D6">
        <w:rPr>
          <w:rFonts w:ascii="Times New Roman" w:hAnsi="Times New Roman" w:cs="Times New Roman"/>
          <w:sz w:val="24"/>
          <w:szCs w:val="24"/>
        </w:rPr>
        <w:t>priede.</w:t>
      </w:r>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w:t>
      </w:r>
      <w:bookmarkStart w:id="9" w:name="_GoBack"/>
      <w:bookmarkEnd w:id="9"/>
      <w:r w:rsidRPr="00A65750">
        <w:rPr>
          <w:rFonts w:ascii="Times New Roman" w:hAnsi="Times New Roman" w:cs="Times New Roman"/>
          <w:color w:val="000000"/>
          <w:sz w:val="24"/>
          <w:szCs w:val="24"/>
        </w:rPr>
        <w:t xml:space="preserv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0699044D" w:rsidR="003C343F"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47196ABD" w14:textId="26EC6DB1" w:rsidR="005F1EB1" w:rsidRPr="00177EF8" w:rsidRDefault="00177EF8" w:rsidP="00177EF8">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005F1EB1" w:rsidRPr="00177EF8">
        <w:rPr>
          <w:rFonts w:ascii="Times New Roman" w:hAnsi="Times New Roman" w:cs="Times New Roman"/>
          <w:b/>
          <w:bCs/>
          <w:sz w:val="24"/>
          <w:szCs w:val="24"/>
        </w:rPr>
        <w:t xml:space="preserve">dokumentai </w:t>
      </w:r>
      <w:r w:rsidR="005F1EB1" w:rsidRPr="00177EF8">
        <w:rPr>
          <w:rFonts w:ascii="Times New Roman" w:eastAsia="Times New Roman" w:hAnsi="Times New Roman" w:cs="Times New Roman"/>
          <w:b/>
          <w:bCs/>
          <w:iCs/>
          <w:sz w:val="24"/>
          <w:szCs w:val="24"/>
          <w:bdr w:val="none" w:sz="0" w:space="0" w:color="auto" w:frame="1"/>
        </w:rPr>
        <w:t xml:space="preserve">pagrindžiantys </w:t>
      </w:r>
      <w:r w:rsidR="000D1223" w:rsidRPr="000D1223">
        <w:rPr>
          <w:rFonts w:ascii="Times New Roman" w:eastAsia="Times New Roman" w:hAnsi="Times New Roman" w:cs="Times New Roman"/>
          <w:b/>
          <w:bCs/>
          <w:iCs/>
          <w:sz w:val="24"/>
          <w:szCs w:val="24"/>
          <w:bdr w:val="none" w:sz="0" w:space="0" w:color="auto" w:frame="1"/>
        </w:rPr>
        <w:t>prekės (-</w:t>
      </w:r>
      <w:proofErr w:type="spellStart"/>
      <w:r w:rsidR="000D1223" w:rsidRPr="000D1223">
        <w:rPr>
          <w:rFonts w:ascii="Times New Roman" w:eastAsia="Times New Roman" w:hAnsi="Times New Roman" w:cs="Times New Roman"/>
          <w:b/>
          <w:bCs/>
          <w:iCs/>
          <w:sz w:val="24"/>
          <w:szCs w:val="24"/>
          <w:bdr w:val="none" w:sz="0" w:space="0" w:color="auto" w:frame="1"/>
        </w:rPr>
        <w:t>ių</w:t>
      </w:r>
      <w:proofErr w:type="spellEnd"/>
      <w:r w:rsidR="000D1223" w:rsidRPr="000D1223">
        <w:rPr>
          <w:rFonts w:ascii="Times New Roman" w:eastAsia="Times New Roman" w:hAnsi="Times New Roman" w:cs="Times New Roman"/>
          <w:b/>
          <w:bCs/>
          <w:iCs/>
          <w:sz w:val="24"/>
          <w:szCs w:val="24"/>
          <w:bdr w:val="none" w:sz="0" w:space="0" w:color="auto" w:frame="1"/>
        </w:rPr>
        <w:t xml:space="preserve">) atitikimą techniniams reikalavimams </w:t>
      </w:r>
      <w:r w:rsidR="000D1223" w:rsidRPr="000D1223">
        <w:rPr>
          <w:rFonts w:ascii="Times New Roman" w:eastAsia="Times New Roman" w:hAnsi="Times New Roman" w:cs="Times New Roman"/>
          <w:bCs/>
          <w:iCs/>
          <w:sz w:val="24"/>
          <w:szCs w:val="24"/>
          <w:bdr w:val="none" w:sz="0" w:space="0" w:color="auto" w:frame="1"/>
        </w:rPr>
        <w:t>(nurodyti specialiųjų pirkimo sąlygų 2 priede Techninė specifikacija).</w:t>
      </w:r>
    </w:p>
    <w:p w14:paraId="3746BBDD" w14:textId="25FF7E2E"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5832FD61" w:rsidR="00AB34FE"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E53843">
        <w:rPr>
          <w:rFonts w:ascii="Times New Roman" w:hAnsi="Times New Roman" w:cs="Times New Roman"/>
          <w:sz w:val="24"/>
          <w:szCs w:val="24"/>
        </w:rPr>
        <w:t>5</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B613AC4" w14:textId="748C3A4A" w:rsidR="00E53843" w:rsidRPr="000731AD" w:rsidRDefault="00E53843"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5.1.6. kiti pirkimo dokumentuose ir/ar j</w:t>
      </w:r>
      <w:r w:rsidR="00BC68BB">
        <w:rPr>
          <w:rFonts w:ascii="Times New Roman" w:hAnsi="Times New Roman" w:cs="Times New Roman"/>
          <w:sz w:val="24"/>
          <w:szCs w:val="24"/>
        </w:rPr>
        <w:t>ų</w:t>
      </w:r>
      <w:r>
        <w:rPr>
          <w:rFonts w:ascii="Times New Roman" w:hAnsi="Times New Roman" w:cs="Times New Roman"/>
          <w:sz w:val="24"/>
          <w:szCs w:val="24"/>
        </w:rPr>
        <w:t xml:space="preserve"> prieduose </w:t>
      </w:r>
      <w:proofErr w:type="spellStart"/>
      <w:r>
        <w:rPr>
          <w:rFonts w:ascii="Times New Roman" w:hAnsi="Times New Roman" w:cs="Times New Roman"/>
          <w:sz w:val="24"/>
          <w:szCs w:val="24"/>
        </w:rPr>
        <w:t>rekalaujami</w:t>
      </w:r>
      <w:proofErr w:type="spellEnd"/>
      <w:r>
        <w:rPr>
          <w:rFonts w:ascii="Times New Roman" w:hAnsi="Times New Roman" w:cs="Times New Roman"/>
          <w:sz w:val="24"/>
          <w:szCs w:val="24"/>
        </w:rPr>
        <w:t xml:space="preserve"> dokumentai.</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9A6AA8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3D1A47">
        <w:rPr>
          <w:rFonts w:ascii="Times New Roman" w:hAnsi="Times New Roman" w:cs="Times New Roman"/>
          <w:sz w:val="24"/>
          <w:szCs w:val="24"/>
        </w:rPr>
        <w:t>Įrangų</w:t>
      </w:r>
      <w:r w:rsidR="003D1A47" w:rsidRPr="00420E93">
        <w:rPr>
          <w:rFonts w:ascii="Times New Roman" w:hAnsi="Times New Roman" w:cs="Times New Roman"/>
          <w:sz w:val="24"/>
          <w:szCs w:val="24"/>
        </w:rPr>
        <w:t xml:space="preserve"> atitiktį reikalavimams </w:t>
      </w:r>
      <w:r w:rsidR="00C12654">
        <w:rPr>
          <w:rFonts w:ascii="Times New Roman" w:hAnsi="Times New Roman" w:cs="Times New Roman"/>
          <w:sz w:val="24"/>
          <w:szCs w:val="24"/>
        </w:rPr>
        <w:t xml:space="preserve">įrodantys </w:t>
      </w:r>
      <w:r w:rsidR="003D1A47" w:rsidRPr="00420E93">
        <w:rPr>
          <w:rFonts w:ascii="Times New Roman" w:hAnsi="Times New Roman" w:cs="Times New Roman"/>
          <w:sz w:val="24"/>
          <w:szCs w:val="24"/>
        </w:rPr>
        <w:t xml:space="preserve">gamintojo dokumentai (sertifikatas, techninės specifikacijos, katalogas, brošiūra ir kt.) </w:t>
      </w:r>
      <w:r w:rsidR="003D1A47">
        <w:rPr>
          <w:rFonts w:ascii="Times New Roman" w:hAnsi="Times New Roman" w:cs="Times New Roman"/>
          <w:sz w:val="24"/>
          <w:szCs w:val="24"/>
        </w:rPr>
        <w:t xml:space="preserve">turi būti pateikti </w:t>
      </w:r>
      <w:r w:rsidR="003D1A47" w:rsidRPr="00420E93">
        <w:rPr>
          <w:rFonts w:ascii="Times New Roman" w:hAnsi="Times New Roman" w:cs="Times New Roman"/>
          <w:sz w:val="24"/>
          <w:szCs w:val="24"/>
        </w:rPr>
        <w:t>lietuvių arba anglų kalba</w:t>
      </w:r>
      <w:r w:rsidR="003D1A47">
        <w:rPr>
          <w:rFonts w:ascii="Times New Roman" w:hAnsi="Times New Roman" w:cs="Times New Roman"/>
          <w:sz w:val="24"/>
          <w:szCs w:val="24"/>
        </w:rPr>
        <w:t>.</w:t>
      </w:r>
      <w:r w:rsidR="003D1A47"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lastRenderedPageBreak/>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1774DEFD"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 xml:space="preserve">pagrindžiantys </w:t>
      </w:r>
      <w:r w:rsidR="00594AAF" w:rsidRPr="00594AAF">
        <w:rPr>
          <w:rFonts w:ascii="Times New Roman" w:eastAsia="Times New Roman" w:hAnsi="Times New Roman" w:cs="Times New Roman"/>
          <w:iCs/>
          <w:sz w:val="24"/>
          <w:szCs w:val="24"/>
          <w:bdr w:val="none" w:sz="0" w:space="0" w:color="auto" w:frame="1"/>
        </w:rPr>
        <w:t>prekės (-</w:t>
      </w:r>
      <w:proofErr w:type="spellStart"/>
      <w:r w:rsidR="00594AAF" w:rsidRPr="00594AAF">
        <w:rPr>
          <w:rFonts w:ascii="Times New Roman" w:eastAsia="Times New Roman" w:hAnsi="Times New Roman" w:cs="Times New Roman"/>
          <w:iCs/>
          <w:sz w:val="24"/>
          <w:szCs w:val="24"/>
          <w:bdr w:val="none" w:sz="0" w:space="0" w:color="auto" w:frame="1"/>
        </w:rPr>
        <w:t>ių</w:t>
      </w:r>
      <w:proofErr w:type="spellEnd"/>
      <w:r w:rsidR="00594AAF" w:rsidRPr="00594AAF">
        <w:rPr>
          <w:rFonts w:ascii="Times New Roman" w:eastAsia="Times New Roman" w:hAnsi="Times New Roman" w:cs="Times New Roman"/>
          <w:iCs/>
          <w:sz w:val="24"/>
          <w:szCs w:val="24"/>
          <w:bdr w:val="none" w:sz="0" w:space="0" w:color="auto" w:frame="1"/>
        </w:rPr>
        <w:t xml:space="preserve">) atitikimą techniniams reikalavimams </w:t>
      </w:r>
      <w:r w:rsidRPr="0073422B">
        <w:rPr>
          <w:rFonts w:ascii="Times New Roman" w:eastAsia="Times New Roman" w:hAnsi="Times New Roman" w:cs="Times New Roman"/>
          <w:iCs/>
          <w:sz w:val="24"/>
          <w:szCs w:val="24"/>
          <w:bdr w:val="none" w:sz="0" w:space="0" w:color="auto" w:frame="1"/>
        </w:rPr>
        <w:t>(</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1" w:name="_Ref39425999"/>
      <w:bookmarkStart w:id="12" w:name="_Ref39426005"/>
      <w:bookmarkStart w:id="13" w:name="_Toc126333937"/>
      <w:r w:rsidRPr="00E06B8C">
        <w:rPr>
          <w:rFonts w:ascii="Times New Roman" w:hAnsi="Times New Roman" w:cs="Times New Roman"/>
          <w:b/>
          <w:sz w:val="24"/>
          <w:szCs w:val="24"/>
        </w:rPr>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B421C4"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B421C4"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0308328B"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0B4BB2">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0EA6BC97" w:rsidR="001766AF" w:rsidRPr="00236F19" w:rsidRDefault="00741E2D" w:rsidP="009C4DA6">
            <w:pPr>
              <w:ind w:firstLine="34"/>
              <w:jc w:val="left"/>
              <w:rPr>
                <w:sz w:val="24"/>
                <w:szCs w:val="24"/>
              </w:rPr>
            </w:pPr>
            <w:r>
              <w:rPr>
                <w:b/>
                <w:sz w:val="24"/>
                <w:szCs w:val="24"/>
              </w:rPr>
              <w:t>6</w:t>
            </w:r>
            <w:r w:rsidR="001766AF" w:rsidRPr="001766AF">
              <w:rPr>
                <w:b/>
                <w:sz w:val="24"/>
                <w:szCs w:val="24"/>
              </w:rPr>
              <w:t>0 (</w:t>
            </w:r>
            <w:r>
              <w:rPr>
                <w:b/>
                <w:sz w:val="24"/>
                <w:szCs w:val="24"/>
              </w:rPr>
              <w:t>šešias</w:t>
            </w:r>
            <w:r w:rsidR="001766AF" w:rsidRPr="001766AF">
              <w:rPr>
                <w:b/>
                <w:sz w:val="24"/>
                <w:szCs w:val="24"/>
              </w:rPr>
              <w:t>dešimt) dienų</w:t>
            </w:r>
            <w:r w:rsidR="001766AF" w:rsidRPr="00AE5A20">
              <w:rPr>
                <w:sz w:val="24"/>
                <w:szCs w:val="24"/>
              </w:rPr>
              <w:t xml:space="preserve"> </w:t>
            </w:r>
            <w:r w:rsidR="001766AF"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8"/>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p>
    <w:sectPr w:rsidR="00207745" w:rsidRPr="00755F9B"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BB2"/>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223"/>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325"/>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396"/>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1A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8DE"/>
    <w:rsid w:val="004B6BCA"/>
    <w:rsid w:val="004B6FBD"/>
    <w:rsid w:val="004B7455"/>
    <w:rsid w:val="004B75AF"/>
    <w:rsid w:val="004C03F1"/>
    <w:rsid w:val="004C076A"/>
    <w:rsid w:val="004C09A7"/>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AAF"/>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1E2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693"/>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C4"/>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E0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BB"/>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54"/>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97B"/>
    <w:rsid w:val="00C3710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843"/>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D6"/>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f5276f43564ab3ee1943b820dbc0bcfb">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d5b4669837437b733573415c29c6dd37"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documentManagement/types"/>
    <ds:schemaRef ds:uri="c656aea0-4ea5-4db6-8a19-802664f5a41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23ff61ea-a57a-4bd3-ae79-8a3ede980598"/>
    <ds:schemaRef ds:uri="c4d4993c-3556-490f-a652-5742e1d7f340"/>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6A3B6DBD-B95C-4F9E-A156-A7268FBD1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47DAA-61EB-4D18-8F6A-2F498BFB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12396</Words>
  <Characters>7067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15</cp:revision>
  <cp:lastPrinted>2021-11-03T05:49:00Z</cp:lastPrinted>
  <dcterms:created xsi:type="dcterms:W3CDTF">2025-05-22T08:25:00Z</dcterms:created>
  <dcterms:modified xsi:type="dcterms:W3CDTF">2025-10-27T11:20:00Z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