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9"/>
        <w:gridCol w:w="8151"/>
      </w:tblGrid>
      <w:tr w:rsidR="00500A1D" w:rsidRPr="00A204C4" w:rsidTr="00EF0FB0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15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F37A54" w:rsidRPr="00A204C4" w:rsidTr="00A53EBD">
        <w:trPr>
          <w:trHeight w:val="1438"/>
        </w:trPr>
        <w:tc>
          <w:tcPr>
            <w:tcW w:w="532" w:type="dxa"/>
            <w:vAlign w:val="center"/>
          </w:tcPr>
          <w:p w:rsidR="00F37A54" w:rsidRPr="00A204C4" w:rsidRDefault="00F37A54" w:rsidP="00F37A5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37A54" w:rsidRPr="00D75A73" w:rsidRDefault="001B6EAE" w:rsidP="00F37A54">
            <w:pPr>
              <w:jc w:val="center"/>
              <w:rPr>
                <w:sz w:val="18"/>
                <w:szCs w:val="20"/>
              </w:rPr>
            </w:pPr>
            <w:r w:rsidRPr="001B6EAE">
              <w:rPr>
                <w:sz w:val="18"/>
                <w:szCs w:val="20"/>
              </w:rPr>
              <w:t>FN MINIMI MK3 7.62 mm patikros įranga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AE" w:rsidRPr="002E25C3" w:rsidRDefault="001B6EAE" w:rsidP="001B6EAE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2E25C3">
              <w:rPr>
                <w:rFonts w:eastAsia="MS Gothic"/>
                <w:b/>
                <w:sz w:val="20"/>
                <w:szCs w:val="20"/>
              </w:rPr>
              <w:t>1.</w:t>
            </w:r>
            <w:r w:rsidRPr="002E25C3">
              <w:rPr>
                <w:rFonts w:eastAsia="MS Gothic"/>
                <w:b/>
                <w:sz w:val="20"/>
                <w:szCs w:val="20"/>
              </w:rPr>
              <w:tab/>
              <w:t>Bendrieji reikalavimai.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1.1. Komplektą sudaro: 1 vnt. lagaminas su matuokliais 7.62 mm. kalibrui (KIT 687020) ir  1 vnt.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išsikišimo matuoklių rinkinys  7.62 mm kalibrui (KIT 688010).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1.2. Visa patikros įranga turi būti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gamykliškai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nauja. Visa patikros įranga turi būti pristatyta nepažeistose gamintojo pakuotėse;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1.2.1. Išpakavus ir radus įrangos pažeidimus, įranga grąžinama tiekėjui arba keičiama nauja, tokia pačia įranga;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1.3. Sertifikatai, kokybės reikalavimai: Siūlomi patikros įrangos komplektai turi turėti kalibravimo arba gamintojo sertifikatus. Informacija apie sertifikavimą gali būti pateikta oficialiose gamintojo interneto svetainėse (kartu su pasiūlymu pateikti tikslią nuorodą ir įskaitomą interneto svetainės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ekranvaizdį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>) arba pateikti sertifikatų kopijas;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1.4. Garantinis laikotarpis: patikros įrangos komplektams turi būti suteikiamas ne mažesnis kaip 36 mėnesių garantinis laikotarpis nuo prekių perdavimo-priėmimo akto pasirašymo dienos. </w:t>
            </w:r>
          </w:p>
          <w:p w:rsidR="001B6EAE" w:rsidRPr="002E25C3" w:rsidRDefault="001B6EAE" w:rsidP="001B6EAE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2E25C3">
              <w:rPr>
                <w:rFonts w:eastAsia="MS Gothic"/>
                <w:b/>
                <w:sz w:val="20"/>
                <w:szCs w:val="20"/>
              </w:rPr>
              <w:t>2.</w:t>
            </w:r>
            <w:r w:rsidRPr="002E25C3">
              <w:rPr>
                <w:rFonts w:eastAsia="MS Gothic"/>
                <w:b/>
                <w:sz w:val="20"/>
                <w:szCs w:val="20"/>
              </w:rPr>
              <w:tab/>
              <w:t>Lagaminas su matuokliais 7.62 mm kalibrui (KIT 687020):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Į šį rinkinį turi įeiti lagaminas ir matuokliai: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2.1. Lagaminas matuokliams (ACCE 894);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2.2. Techninė patikra, įspėjimo lygis (užrakto tarpas), (G031);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2.3. Techninė patikra, nepriimtinas lygis (užrakto tarpas), (G032);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2.4. Vamzdžio skersmuo, minimalus (G033);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2.5. Vamzdžio patikra: įspėjimo ir nepriimtinas lygiai (G037);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2.6. Vamzdžio tiesumas (G048);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2.7. Patikros matuoklis, minimalus (G138);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2.8. Ekstraktoriaus išilginio išsikišimo matuoklis (G139)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2.9. Ekstraktoriaus skersinio išsikišimo matuoklis (G140);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2.10. Pakeltas ekstraktorius (G155)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3.</w:t>
            </w:r>
            <w:r w:rsidRPr="001B6EAE">
              <w:rPr>
                <w:rFonts w:eastAsia="MS Gothic"/>
                <w:sz w:val="20"/>
                <w:szCs w:val="20"/>
              </w:rPr>
              <w:tab/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išsikišimo matuoklių rinkinys 7.62 mm. kalibrui (KIT 688010):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>Į šį rinkinį turi įeiti šie matuokliai: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3.1.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išsikišimo matuoklis (G141);</w:t>
            </w:r>
          </w:p>
          <w:p w:rsidR="001B6EAE" w:rsidRPr="001B6EAE" w:rsidRDefault="001B6EAE" w:rsidP="001B6EAE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3.2. Įrankis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išsikišimo matuoklio </w:t>
            </w:r>
            <w:proofErr w:type="spellStart"/>
            <w:r w:rsidRPr="001B6EAE">
              <w:rPr>
                <w:rFonts w:eastAsia="MS Gothic"/>
                <w:sz w:val="20"/>
                <w:szCs w:val="20"/>
              </w:rPr>
              <w:t>nunulinimui</w:t>
            </w:r>
            <w:proofErr w:type="spellEnd"/>
            <w:r w:rsidRPr="001B6EAE">
              <w:rPr>
                <w:rFonts w:eastAsia="MS Gothic"/>
                <w:sz w:val="20"/>
                <w:szCs w:val="20"/>
              </w:rPr>
              <w:t xml:space="preserve"> (G154);</w:t>
            </w:r>
          </w:p>
          <w:p w:rsidR="00F37A54" w:rsidRDefault="001B6EAE" w:rsidP="005B2B59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1B6EAE">
              <w:rPr>
                <w:rFonts w:eastAsia="MS Gothic"/>
                <w:sz w:val="20"/>
                <w:szCs w:val="20"/>
              </w:rPr>
              <w:t xml:space="preserve">3.3. 7.62 mm imitacinė </w:t>
            </w:r>
            <w:r>
              <w:rPr>
                <w:rFonts w:eastAsia="MS Gothic"/>
                <w:sz w:val="20"/>
                <w:szCs w:val="20"/>
              </w:rPr>
              <w:t>šovinio tūtelė matavimui (G157)</w:t>
            </w:r>
          </w:p>
          <w:p w:rsidR="005C6396" w:rsidRPr="001B6EAE" w:rsidRDefault="005C6396" w:rsidP="005B2B59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A11035">
              <w:rPr>
                <w:noProof/>
                <w:lang w:val="en-US" w:eastAsia="en-US"/>
              </w:rPr>
              <w:drawing>
                <wp:inline distT="0" distB="0" distL="0" distR="0">
                  <wp:extent cx="2845559" cy="37427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720" cy="379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80924" w:rsidRDefault="00880924">
      <w:pPr>
        <w:spacing w:after="200" w:line="276" w:lineRule="auto"/>
      </w:pPr>
    </w:p>
    <w:sectPr w:rsidR="00880924" w:rsidSect="00B964CB">
      <w:pgSz w:w="11906" w:h="16838" w:code="9"/>
      <w:pgMar w:top="851" w:right="707" w:bottom="1135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B6EAE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E25C3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639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50C92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8EE2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AF1D-2B0E-4685-926C-0AA88983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29</cp:revision>
  <cp:lastPrinted>2022-03-07T13:14:00Z</cp:lastPrinted>
  <dcterms:created xsi:type="dcterms:W3CDTF">2022-10-04T13:25:00Z</dcterms:created>
  <dcterms:modified xsi:type="dcterms:W3CDTF">2025-10-21T12:38:00Z</dcterms:modified>
</cp:coreProperties>
</file>