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r w:rsidRPr="009A2D67">
        <w:rPr>
          <w:rFonts w:ascii="Times New Roman" w:hAnsi="Times New Roman"/>
          <w:b/>
          <w:sz w:val="24"/>
          <w:szCs w:val="24"/>
        </w:rPr>
        <w:t>TVARKYBOS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2" w:name="_Hlk70511315"/>
      <w:r w:rsidRPr="009A2D67">
        <w:rPr>
          <w:rFonts w:ascii="Times New Roman" w:eastAsia="Times New Roman" w:hAnsi="Times New Roman"/>
          <w:sz w:val="24"/>
          <w:szCs w:val="24"/>
          <w:lang w:eastAsia="lt-LT"/>
        </w:rPr>
        <w:t>[..........]</w:t>
      </w:r>
      <w:bookmarkEnd w:id="2"/>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77777777"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7C713C" w:rsidRPr="009A2D67">
        <w:rPr>
          <w:rFonts w:ascii="Times New Roman" w:eastAsia="Times New Roman" w:hAnsi="Times New Roman"/>
          <w:b/>
          <w:bCs/>
          <w:sz w:val="24"/>
          <w:szCs w:val="24"/>
          <w:lang w:eastAsia="lt-LT"/>
        </w:rPr>
        <w:t>Statytoju,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3" w:name="_Hlk64278933"/>
      <w:r w:rsidRPr="009A2D67">
        <w:rPr>
          <w:rFonts w:ascii="Times New Roman" w:eastAsia="Times New Roman" w:hAnsi="Times New Roman"/>
          <w:sz w:val="24"/>
          <w:szCs w:val="24"/>
          <w:lang w:eastAsia="lt-LT"/>
        </w:rPr>
        <w:t xml:space="preserve">veikiančio pagal </w:t>
      </w:r>
      <w:bookmarkEnd w:id="3"/>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4" w:name="_Hlk97293700"/>
      <w:r w:rsidRPr="009A2D67">
        <w:rPr>
          <w:rFonts w:ascii="Times New Roman" w:eastAsia="Times New Roman" w:hAnsi="Times New Roman"/>
          <w:sz w:val="24"/>
          <w:szCs w:val="24"/>
        </w:rPr>
        <w:t xml:space="preserve">yra </w:t>
      </w:r>
      <w:bookmarkStart w:id="5" w:name="_Hlk74295389"/>
      <w:r w:rsidRPr="009A2D67">
        <w:rPr>
          <w:rFonts w:ascii="Times New Roman" w:eastAsia="Times New Roman" w:hAnsi="Times New Roman"/>
          <w:sz w:val="24"/>
          <w:szCs w:val="24"/>
        </w:rPr>
        <w:t>_____________</w:t>
      </w:r>
      <w:bookmarkEnd w:id="5"/>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4"/>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6" w:name="_Hlk138673387"/>
      <w:r w:rsidR="00676EBB" w:rsidRPr="00676EBB">
        <w:rPr>
          <w:rFonts w:ascii="Times New Roman" w:eastAsia="Times New Roman" w:hAnsi="Times New Roman"/>
          <w:sz w:val="24"/>
          <w:szCs w:val="24"/>
        </w:rPr>
        <w:t>eičiant Darbų atlikimo grafiką</w:t>
      </w:r>
      <w:bookmarkEnd w:id="6"/>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7" w:name="_Hlk122522241"/>
      <w:bookmarkStart w:id="8"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7"/>
    <w:p w14:paraId="7A12C5B5" w14:textId="5B5EF79C" w:rsidR="008E0AFD" w:rsidRPr="009A2D67"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9"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w:t>
      </w:r>
      <w:r w:rsidR="00397E48">
        <w:rPr>
          <w:rFonts w:ascii="Times New Roman" w:eastAsia="Times New Roman" w:hAnsi="Times New Roman"/>
          <w:b/>
          <w:bCs/>
          <w:sz w:val="24"/>
          <w:szCs w:val="24"/>
          <w:lang w:eastAsia="en-US"/>
        </w:rPr>
        <w:t>8</w:t>
      </w:r>
      <w:r w:rsidRPr="009A2D67">
        <w:rPr>
          <w:rFonts w:ascii="Times New Roman" w:eastAsia="Times New Roman" w:hAnsi="Times New Roman"/>
          <w:b/>
          <w:bCs/>
          <w:sz w:val="24"/>
          <w:szCs w:val="24"/>
          <w:lang w:eastAsia="en-US"/>
        </w:rPr>
        <w:t xml:space="preserve"> m. lapkričio 25 d.</w:t>
      </w:r>
      <w:r w:rsidRPr="009A2D67">
        <w:rPr>
          <w:rFonts w:ascii="Times New Roman" w:eastAsia="Times New Roman" w:hAnsi="Times New Roman"/>
          <w:sz w:val="24"/>
          <w:szCs w:val="24"/>
          <w:lang w:eastAsia="en-US"/>
        </w:rPr>
        <w:t xml:space="preserve"> </w:t>
      </w:r>
      <w:bookmarkEnd w:id="9"/>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w:t>
      </w:r>
      <w:r w:rsidRPr="009A2D67">
        <w:rPr>
          <w:rFonts w:ascii="Times New Roman" w:eastAsia="Times New Roman" w:hAnsi="Times New Roman"/>
          <w:color w:val="000000" w:themeColor="text1"/>
          <w:sz w:val="24"/>
          <w:szCs w:val="24"/>
        </w:rPr>
        <w:lastRenderedPageBreak/>
        <w:t>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0" w:name="_Hlk61967941"/>
      <w:r w:rsidRPr="009A2D67">
        <w:rPr>
          <w:rFonts w:ascii="Times New Roman" w:eastAsia="Times New Roman" w:hAnsi="Times New Roman"/>
          <w:sz w:val="24"/>
          <w:szCs w:val="24"/>
        </w:rPr>
        <w:t xml:space="preserve">terminas gali būti pratęstas laikotarpiui iki 1 (vienerių) metų, išskyrus, kai </w:t>
      </w:r>
      <w:bookmarkStart w:id="11" w:name="_Hlk61968340"/>
      <w:r w:rsidRPr="009A2D67">
        <w:rPr>
          <w:rFonts w:ascii="Times New Roman" w:eastAsia="Times New Roman" w:hAnsi="Times New Roman"/>
          <w:sz w:val="24"/>
          <w:szCs w:val="24"/>
        </w:rPr>
        <w:t>biudžetiniais metais nėra skiriamas pakankamas finansavimas Sutarčiai įvykdyti</w:t>
      </w:r>
      <w:bookmarkEnd w:id="11"/>
      <w:r w:rsidRPr="009A2D67">
        <w:rPr>
          <w:rFonts w:ascii="Times New Roman" w:eastAsia="Times New Roman" w:hAnsi="Times New Roman"/>
          <w:sz w:val="24"/>
          <w:szCs w:val="24"/>
        </w:rPr>
        <w:t xml:space="preserve">. Tokiu atveju Sutartis gali būti dar kartą pratęsta iki 1 (vienerių) metų. </w:t>
      </w:r>
      <w:bookmarkEnd w:id="10"/>
      <w:r w:rsidRPr="009A2D67">
        <w:rPr>
          <w:rFonts w:ascii="Times New Roman" w:eastAsia="Times New Roman" w:hAnsi="Times New Roman"/>
          <w:sz w:val="24"/>
          <w:szCs w:val="24"/>
        </w:rPr>
        <w:t xml:space="preserve">Šiuo atveju, Rangovas teikia </w:t>
      </w:r>
      <w:bookmarkStart w:id="12" w:name="_Hlk61968371"/>
      <w:r w:rsidRPr="009A2D67">
        <w:rPr>
          <w:rFonts w:ascii="Times New Roman" w:eastAsia="Times New Roman" w:hAnsi="Times New Roman"/>
          <w:sz w:val="24"/>
          <w:szCs w:val="24"/>
        </w:rPr>
        <w:t>rašytinį prašymą Užsakovui pratęsti Sutartį, nurodydamas nenumatytas aplinkybes</w:t>
      </w:r>
      <w:bookmarkEnd w:id="12"/>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3" w:name="_Hlk61968782"/>
      <w:r w:rsidRPr="009A2D67">
        <w:rPr>
          <w:rFonts w:ascii="Times New Roman" w:eastAsia="Times New Roman" w:hAnsi="Times New Roman"/>
          <w:sz w:val="24"/>
          <w:szCs w:val="24"/>
        </w:rPr>
        <w:t xml:space="preserve">Bendra Sutarties trukmė negali būti ilgesnė kaip </w:t>
      </w:r>
      <w:bookmarkEnd w:id="13"/>
      <w:r w:rsidRPr="009A2D67">
        <w:rPr>
          <w:rFonts w:ascii="Times New Roman" w:eastAsia="Times New Roman" w:hAnsi="Times New Roman"/>
          <w:b/>
          <w:bCs/>
          <w:sz w:val="24"/>
          <w:szCs w:val="24"/>
        </w:rPr>
        <w:t>iki 20</w:t>
      </w:r>
      <w:r w:rsidR="00397E48">
        <w:rPr>
          <w:rFonts w:ascii="Times New Roman" w:eastAsia="Times New Roman" w:hAnsi="Times New Roman"/>
          <w:b/>
          <w:bCs/>
          <w:sz w:val="24"/>
          <w:szCs w:val="24"/>
        </w:rPr>
        <w:t xml:space="preserve">30 </w:t>
      </w:r>
      <w:r w:rsidRPr="009A2D67">
        <w:rPr>
          <w:rFonts w:ascii="Times New Roman" w:eastAsia="Times New Roman" w:hAnsi="Times New Roman"/>
          <w:b/>
          <w:bCs/>
          <w:sz w:val="24"/>
          <w:szCs w:val="24"/>
        </w:rPr>
        <w:t>m. lapkričio 25 d.</w:t>
      </w:r>
    </w:p>
    <w:bookmarkEnd w:id="8"/>
    <w:p w14:paraId="595B836F" w14:textId="685AE70E"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tvarkybos darbų projekte (toliau – Projektas)</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4" w:name="_Hlk43285922"/>
      <w:r w:rsidR="00160A6A" w:rsidRPr="00397E48">
        <w:rPr>
          <w:rFonts w:ascii="Times New Roman" w:eastAsia="Times New Roman" w:hAnsi="Times New Roman"/>
          <w:b/>
          <w:bCs/>
          <w:sz w:val="24"/>
          <w:szCs w:val="24"/>
        </w:rPr>
        <w:t>202</w:t>
      </w:r>
      <w:r w:rsidR="00397E48" w:rsidRPr="00397E48">
        <w:rPr>
          <w:rFonts w:ascii="Times New Roman" w:eastAsia="Times New Roman" w:hAnsi="Times New Roman"/>
          <w:b/>
          <w:bCs/>
          <w:sz w:val="24"/>
          <w:szCs w:val="24"/>
        </w:rPr>
        <w:t>8</w:t>
      </w:r>
      <w:r w:rsidR="00160A6A" w:rsidRPr="00397E48">
        <w:rPr>
          <w:rFonts w:ascii="Times New Roman" w:eastAsia="Times New Roman" w:hAnsi="Times New Roman"/>
          <w:b/>
          <w:bCs/>
          <w:sz w:val="24"/>
          <w:szCs w:val="24"/>
        </w:rPr>
        <w:t xml:space="preserve"> m. </w:t>
      </w:r>
      <w:r w:rsidR="00034B3B" w:rsidRPr="00397E48">
        <w:rPr>
          <w:rFonts w:ascii="Times New Roman" w:eastAsia="Times New Roman" w:hAnsi="Times New Roman"/>
          <w:b/>
          <w:bCs/>
          <w:sz w:val="24"/>
          <w:szCs w:val="24"/>
        </w:rPr>
        <w:t>spalio 25</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4"/>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002A37C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5" w:name="_Hlk124779815"/>
      <w:r w:rsidR="00F93CE8" w:rsidRPr="009A2D67">
        <w:rPr>
          <w:rFonts w:ascii="Times New Roman" w:eastAsia="Times New Roman" w:hAnsi="Times New Roman"/>
          <w:sz w:val="24"/>
          <w:szCs w:val="24"/>
        </w:rPr>
        <w:t xml:space="preserve"> </w:t>
      </w:r>
      <w:bookmarkEnd w:id="15"/>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676EBB">
      <w:pPr>
        <w:numPr>
          <w:ilvl w:val="1"/>
          <w:numId w:val="40"/>
        </w:numPr>
        <w:tabs>
          <w:tab w:val="left" w:pos="709"/>
        </w:tabs>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w:t>
      </w:r>
      <w:r w:rsidRPr="00676EBB">
        <w:rPr>
          <w:rFonts w:ascii="Times New Roman" w:eastAsia="Times New Roman" w:hAnsi="Times New Roman"/>
          <w:sz w:val="24"/>
          <w:szCs w:val="24"/>
        </w:rPr>
        <w:lastRenderedPageBreak/>
        <w:t xml:space="preserve">taip pat dėl kitų aplinkybių, kurių nebuvo galima numatyti iki Pirkimo paskelbimo. </w:t>
      </w:r>
      <w:r w:rsidR="00676EBB" w:rsidRPr="00676EBB">
        <w:rPr>
          <w:rFonts w:ascii="Times New Roman" w:eastAsia="Times New Roman" w:hAnsi="Times New Roman"/>
          <w:sz w:val="24"/>
          <w:szCs w:val="24"/>
        </w:rPr>
        <w:t>Grafiko pakeitimas nelaikomas tokiu Sutarties pakeitimu, dėl kurio turi būti sudaromas 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6"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6"/>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7" w:name="_Hlk122522488"/>
      <w:r w:rsidR="00682AE4" w:rsidRPr="009A2D67">
        <w:rPr>
          <w:rFonts w:ascii="Times New Roman" w:hAnsi="Times New Roman"/>
          <w:color w:val="000000" w:themeColor="text1"/>
          <w:sz w:val="24"/>
          <w:szCs w:val="24"/>
        </w:rPr>
        <w:t>objektu vietoje</w:t>
      </w:r>
      <w:bookmarkEnd w:id="17"/>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18"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18"/>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19"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19"/>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77777777"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0" w:name="_Hlk64279548"/>
      <w:r w:rsidRPr="00676EBB">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ir Statytojui išrašytas PVM sąskaitas faktūras, pateiktas naudojantis </w:t>
      </w:r>
      <w:bookmarkEnd w:id="20"/>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40F1F09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ir Statytojo, šiame Sutarties skyriuje nurodyti apmokėjimo už atliktus darbus terminai gali būti pratęsti </w:t>
      </w:r>
      <w:bookmarkStart w:id="21" w:name="_Hlk61443807"/>
      <w:r w:rsidR="009F7B0B" w:rsidRPr="00676EBB">
        <w:rPr>
          <w:rFonts w:ascii="Times New Roman" w:eastAsia="Cambria" w:hAnsi="Times New Roman"/>
          <w:sz w:val="24"/>
          <w:szCs w:val="24"/>
        </w:rPr>
        <w:t>atskiru rašytiniu Šalių susitarimu.</w:t>
      </w:r>
    </w:p>
    <w:p w14:paraId="1CB4D3AE" w14:textId="673A793B" w:rsidR="004C35D5" w:rsidRPr="009A2D67" w:rsidRDefault="006C1899" w:rsidP="00495136">
      <w:pPr>
        <w:numPr>
          <w:ilvl w:val="1"/>
          <w:numId w:val="45"/>
        </w:numPr>
        <w:ind w:left="709" w:hanging="709"/>
        <w:jc w:val="both"/>
        <w:rPr>
          <w:rFonts w:ascii="Times New Roman" w:eastAsia="Times New Roman" w:hAnsi="Times New Roman"/>
          <w:sz w:val="24"/>
          <w:szCs w:val="24"/>
        </w:rPr>
      </w:pPr>
      <w:bookmarkStart w:id="22" w:name="_Hlk103874307"/>
      <w:r w:rsidRPr="009A2D67">
        <w:rPr>
          <w:rFonts w:ascii="Times New Roman" w:eastAsia="Times New Roman" w:hAnsi="Times New Roman"/>
          <w:sz w:val="24"/>
          <w:szCs w:val="24"/>
        </w:rPr>
        <w:t xml:space="preserve">Užsakovas </w:t>
      </w:r>
      <w:bookmarkEnd w:id="21"/>
      <w:r w:rsidR="004C35D5" w:rsidRPr="009A2D67">
        <w:rPr>
          <w:rFonts w:ascii="Times New Roman" w:eastAsia="Times New Roman" w:hAnsi="Times New Roman"/>
          <w:sz w:val="24"/>
          <w:szCs w:val="24"/>
        </w:rPr>
        <w:t xml:space="preserve">ir Statytojas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p>
    <w:bookmarkEnd w:id="22"/>
    <w:p w14:paraId="120DC271" w14:textId="05CB4006"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389F4C1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FF045F" w:rsidRPr="009A2D67">
        <w:rPr>
          <w:rFonts w:ascii="Times New Roman" w:eastAsia="Times New Roman" w:hAnsi="Times New Roman"/>
          <w:sz w:val="24"/>
          <w:szCs w:val="24"/>
        </w:rPr>
        <w:t xml:space="preserve"> </w:t>
      </w:r>
      <w:r w:rsidR="001A1CF3"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baudas ir delspinigius išskaičiuoja </w:t>
      </w:r>
      <w:r w:rsidR="005773FC" w:rsidRPr="009A2D67">
        <w:rPr>
          <w:rFonts w:ascii="Times New Roman" w:eastAsia="Times New Roman" w:hAnsi="Times New Roman"/>
          <w:sz w:val="24"/>
          <w:szCs w:val="24"/>
        </w:rPr>
        <w:t xml:space="preserve">proporcingai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3"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4"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4"/>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5"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5"/>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6" w:name="_Hlk122523185"/>
      <w:bookmarkStart w:id="27" w:name="_Hlk122524294"/>
      <w:r w:rsidRPr="009A2D67">
        <w:rPr>
          <w:rFonts w:ascii="Times New Roman" w:eastAsia="Times New Roman" w:hAnsi="Times New Roman"/>
          <w:sz w:val="24"/>
          <w:szCs w:val="24"/>
        </w:rPr>
        <w:t>Peržiūros pradžia yra Šalies prašymo kitai Šaliai peržiūrėti Sutarties kainą gavimo diena.</w:t>
      </w:r>
      <w:bookmarkEnd w:id="26"/>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7"/>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28"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28"/>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lastRenderedPageBreak/>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29"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29"/>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6122208D"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0" w:name="_Hlk42517698"/>
      <w:r w:rsidRPr="009A2D67">
        <w:rPr>
          <w:rFonts w:ascii="Times New Roman" w:hAnsi="Times New Roman"/>
          <w:color w:val="000000" w:themeColor="text1"/>
          <w:sz w:val="24"/>
          <w:szCs w:val="24"/>
        </w:rPr>
        <w:t>pasinaudoti tiesioginio atsiskaitymo galimybe</w:t>
      </w:r>
      <w:bookmarkEnd w:id="30"/>
      <w:r w:rsidRPr="009A2D67">
        <w:rPr>
          <w:rFonts w:ascii="Times New Roman" w:hAnsi="Times New Roman"/>
          <w:color w:val="000000" w:themeColor="text1"/>
          <w:sz w:val="24"/>
          <w:szCs w:val="24"/>
        </w:rPr>
        <w:t xml:space="preserve">, sudaroma </w:t>
      </w:r>
      <w:bookmarkStart w:id="31" w:name="_Hlk43297841"/>
      <w:r w:rsidRPr="009A2D67">
        <w:rPr>
          <w:rFonts w:ascii="Times New Roman" w:hAnsi="Times New Roman"/>
          <w:color w:val="000000" w:themeColor="text1"/>
          <w:sz w:val="24"/>
          <w:szCs w:val="24"/>
        </w:rPr>
        <w:t>keturšalė sutartis tarp Užsakovo,</w:t>
      </w:r>
      <w:r w:rsidRPr="009A2D67">
        <w:t xml:space="preserve"> </w:t>
      </w:r>
      <w:r w:rsidRPr="009A2D67">
        <w:rPr>
          <w:rFonts w:ascii="Times New Roman" w:hAnsi="Times New Roman"/>
          <w:sz w:val="24"/>
          <w:szCs w:val="24"/>
        </w:rPr>
        <w:t>Statytojo,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1"/>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Keturšalėje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3D57A3A4"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Rangovas turi teisę prieštarauti nepagrįstiems mokėjimams subrangovui ar medžiagų tiekėjui, pateikdamas Užsakovui ir Statytojui raštiškus įrodymus, kad </w:t>
      </w:r>
      <w:bookmarkStart w:id="32" w:name="_Hlk57797147"/>
      <w:r w:rsidRPr="009A2D67">
        <w:rPr>
          <w:rFonts w:ascii="Times New Roman" w:hAnsi="Times New Roman"/>
          <w:color w:val="000000" w:themeColor="text1"/>
          <w:sz w:val="24"/>
          <w:szCs w:val="24"/>
        </w:rPr>
        <w:t>su subrangovu ar medžiagų tiekėju</w:t>
      </w:r>
      <w:bookmarkEnd w:id="32"/>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14021F15"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3" w:name="_Hlk57797210"/>
      <w:r w:rsidRPr="009A2D67">
        <w:rPr>
          <w:rFonts w:ascii="Times New Roman" w:hAnsi="Times New Roman"/>
          <w:color w:val="000000" w:themeColor="text1"/>
          <w:sz w:val="24"/>
          <w:szCs w:val="24"/>
        </w:rPr>
        <w:t>ar medžiagų tiekėj</w:t>
      </w:r>
      <w:bookmarkEnd w:id="33"/>
      <w:r w:rsidRPr="009A2D67">
        <w:rPr>
          <w:rFonts w:ascii="Times New Roman" w:hAnsi="Times New Roman"/>
          <w:color w:val="000000" w:themeColor="text1"/>
          <w:sz w:val="24"/>
          <w:szCs w:val="24"/>
        </w:rPr>
        <w:t>u galimybė nesukuria Užsakovui ir Statytojui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4"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gavęs Rangovo rašytinį prašymą, gali sumokėti ne didesnį nei 30 procentų Sutarties sumos avansą (jo dalį), dėl kurio konkretaus dydžio sprendimą priima </w:t>
      </w:r>
      <w:r w:rsidRPr="009A2D67">
        <w:rPr>
          <w:rFonts w:ascii="Times New Roman" w:hAnsi="Times New Roman"/>
          <w:color w:val="000000" w:themeColor="text1"/>
          <w:sz w:val="24"/>
          <w:szCs w:val="24"/>
        </w:rPr>
        <w:lastRenderedPageBreak/>
        <w:t>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vanso grąžinimo užtikrinimo suma gali būti mažinama Rangovo grąžintomis (išskaitytomis)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w:t>
      </w:r>
      <w:r w:rsidRPr="009A2D67">
        <w:rPr>
          <w:rFonts w:ascii="Times New Roman" w:hAnsi="Times New Roman"/>
          <w:color w:val="000000" w:themeColor="text1"/>
          <w:sz w:val="24"/>
          <w:szCs w:val="24"/>
        </w:rPr>
        <w:lastRenderedPageBreak/>
        <w:t xml:space="preserve">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3"/>
    <w:bookmarkEnd w:id="34"/>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5"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6" w:name="_Hlk42505871"/>
      <w:bookmarkEnd w:id="35"/>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7" w:name="_Hlk103266295"/>
      <w:r w:rsidR="00745C4B" w:rsidRPr="009A2D67">
        <w:rPr>
          <w:rFonts w:ascii="Times New Roman" w:eastAsia="Times New Roman" w:hAnsi="Times New Roman"/>
          <w:sz w:val="24"/>
          <w:szCs w:val="24"/>
        </w:rPr>
        <w:t>restauravimo</w:t>
      </w:r>
      <w:bookmarkEnd w:id="37"/>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6"/>
    <w:p w14:paraId="4540D6BB" w14:textId="4E6BF624"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r w:rsidR="00013505">
        <w:rPr>
          <w:rFonts w:ascii="Times New Roman" w:eastAsia="Times New Roman" w:hAnsi="Times New Roman"/>
          <w:sz w:val="24"/>
          <w:szCs w:val="24"/>
        </w:rPr>
        <w:t xml:space="preserve">Dailės vertybės 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77777777"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parengti Susitarimą ir pateikti jį Rangovui apie einamiesiems metams numatomas skirti lėšas, kad Rangovas per 14 (keturiolika) kalendorinių dienų pateiktų Užsakovui tvirtinti su objekto Statytoju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38"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38"/>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B4AD761"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ar jų dalies priėmimo 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39" w:name="_Hlk57800636"/>
      <w:r w:rsidRPr="009A2D67">
        <w:rPr>
          <w:rFonts w:ascii="Times New Roman" w:eastAsia="Times New Roman" w:hAnsi="Times New Roman"/>
          <w:sz w:val="24"/>
          <w:szCs w:val="24"/>
        </w:rPr>
        <w:t>garantiniu laikotarpiu atsiradusių defektų pašalinimą</w:t>
      </w:r>
      <w:bookmarkEnd w:id="39"/>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BF5328F"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nutraukus Sutartį, </w:t>
      </w:r>
      <w:r w:rsidRPr="009A2D67">
        <w:rPr>
          <w:rFonts w:ascii="Times New Roman" w:eastAsia="Times New Roman" w:hAnsi="Times New Roman"/>
          <w:color w:val="000000" w:themeColor="text1"/>
          <w:sz w:val="24"/>
          <w:szCs w:val="24"/>
        </w:rPr>
        <w:t xml:space="preserve">perduoti objekto </w:t>
      </w:r>
      <w:r w:rsidR="00A77BB2" w:rsidRPr="009A2D67">
        <w:rPr>
          <w:rFonts w:ascii="Times New Roman" w:eastAsia="Times New Roman" w:hAnsi="Times New Roman"/>
          <w:sz w:val="24"/>
          <w:szCs w:val="24"/>
        </w:rPr>
        <w:t>Staty</w:t>
      </w:r>
      <w:r w:rsidR="00D54B4F" w:rsidRPr="009A2D67">
        <w:rPr>
          <w:rFonts w:ascii="Times New Roman" w:eastAsia="Times New Roman" w:hAnsi="Times New Roman"/>
          <w:color w:val="000000" w:themeColor="text1"/>
          <w:sz w:val="24"/>
          <w:szCs w:val="24"/>
        </w:rPr>
        <w:t>toju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0" w:name="_Hlk57800748"/>
      <w:r w:rsidRPr="009A2D67">
        <w:rPr>
          <w:rFonts w:ascii="Times New Roman" w:eastAsia="Times New Roman" w:hAnsi="Times New Roman"/>
          <w:color w:val="000000" w:themeColor="text1"/>
          <w:sz w:val="24"/>
          <w:szCs w:val="24"/>
        </w:rPr>
        <w:t xml:space="preserve">Užsakovas </w:t>
      </w:r>
      <w:r w:rsidR="005C2FA9" w:rsidRPr="009A2D67">
        <w:rPr>
          <w:rFonts w:ascii="Times New Roman" w:eastAsia="Times New Roman" w:hAnsi="Times New Roman"/>
          <w:color w:val="000000" w:themeColor="text1"/>
          <w:sz w:val="24"/>
          <w:szCs w:val="24"/>
        </w:rPr>
        <w:t xml:space="preserve">ir Statytojas </w:t>
      </w:r>
      <w:r w:rsidRPr="009A2D67">
        <w:rPr>
          <w:rFonts w:ascii="Times New Roman" w:eastAsia="Times New Roman" w:hAnsi="Times New Roman"/>
          <w:color w:val="000000" w:themeColor="text1"/>
          <w:sz w:val="24"/>
          <w:szCs w:val="24"/>
        </w:rPr>
        <w:t xml:space="preserve">privalo apmokėti Rangovui už atliktus </w:t>
      </w:r>
      <w:bookmarkEnd w:id="40"/>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1" w:name="_Hlk42508967"/>
      <w:r w:rsidRPr="009A2D67">
        <w:rPr>
          <w:rFonts w:ascii="Times New Roman" w:eastAsia="Times New Roman" w:hAnsi="Times New Roman"/>
          <w:spacing w:val="-2"/>
          <w:sz w:val="24"/>
          <w:szCs w:val="24"/>
          <w:lang w:eastAsia="lt-LT"/>
        </w:rPr>
        <w:t>turi teisę:</w:t>
      </w:r>
      <w:bookmarkEnd w:id="41"/>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6E920DBE"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7C713C" w:rsidRPr="009A2D67">
        <w:rPr>
          <w:rFonts w:ascii="Times New Roman" w:eastAsia="Times New Roman" w:hAnsi="Times New Roman"/>
          <w:sz w:val="24"/>
          <w:szCs w:val="24"/>
        </w:rPr>
        <w:t>Statytojas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lastRenderedPageBreak/>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2"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3" w:name="_Hlk42510616"/>
      <w:r w:rsidRPr="009A2D67">
        <w:rPr>
          <w:rFonts w:ascii="Times New Roman" w:eastAsia="Times New Roman" w:hAnsi="Times New Roman"/>
          <w:spacing w:val="-2"/>
          <w:sz w:val="24"/>
          <w:szCs w:val="24"/>
          <w:lang w:eastAsia="lt-LT"/>
        </w:rPr>
        <w:t>suteikiamas pagal galiojančius Lietuvos Respublikos teisės aktus.</w:t>
      </w:r>
    </w:p>
    <w:bookmarkEnd w:id="42"/>
    <w:bookmarkEnd w:id="43"/>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9A2D67" w:rsidRDefault="001E3FBF"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 xml:space="preserve">STATYTOJO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4B7062F8" w:rsidR="00693AEE" w:rsidRPr="009A2D67" w:rsidRDefault="007C713C"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4" w:name="_Hlk42508943"/>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45"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4"/>
      <w:bookmarkEnd w:id="45"/>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511868"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46"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bookmarkStart w:id="47" w:name="_Hlk126061025"/>
      <w:r w:rsidR="00E05778" w:rsidRPr="00B56F6F">
        <w:rPr>
          <w:rFonts w:ascii="Times New Roman" w:eastAsia="Times New Roman" w:hAnsi="Times New Roman"/>
          <w:bCs/>
          <w:sz w:val="24"/>
          <w:szCs w:val="24"/>
        </w:rPr>
        <w:t>Staty</w:t>
      </w:r>
      <w:bookmarkEnd w:id="47"/>
      <w:r w:rsidR="00E05778" w:rsidRPr="00B56F6F">
        <w:rPr>
          <w:rFonts w:ascii="Times New Roman" w:eastAsia="Times New Roman" w:hAnsi="Times New Roman"/>
          <w:bCs/>
          <w:sz w:val="24"/>
          <w:szCs w:val="24"/>
        </w:rPr>
        <w:t xml:space="preserve">tojo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48" w:name="_Hlk122525857"/>
      <w:bookmarkEnd w:id="46"/>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16CE2E48"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49" w:name="_Hlk122525954"/>
      <w:bookmarkEnd w:id="48"/>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Statytojo Darbų atlikimo grafiko vizavimas reiškia jo sutikimą su planuojamų vykdyti darbų terminais,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Statytojas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ų bei S</w:t>
      </w:r>
      <w:r w:rsidR="00811F3A" w:rsidRPr="009A2D67">
        <w:rPr>
          <w:rFonts w:ascii="Times New Roman" w:eastAsia="Times New Roman" w:hAnsi="Times New Roman"/>
          <w:bCs/>
          <w:sz w:val="24"/>
          <w:szCs w:val="24"/>
        </w:rPr>
        <w:t>tatytoj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DF6058" w:rsidRPr="009A2D67">
        <w:rPr>
          <w:rFonts w:ascii="Times New Roman" w:eastAsia="Times New Roman" w:hAnsi="Times New Roman"/>
          <w:bCs/>
          <w:sz w:val="24"/>
          <w:szCs w:val="24"/>
        </w:rPr>
        <w:t xml:space="preserve">Statytojo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0" w:name="_Hlk122526194"/>
      <w:bookmarkEnd w:id="49"/>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p w14:paraId="1A95166A" w14:textId="715CCB00" w:rsidR="00B56F6F" w:rsidRPr="00B56F6F" w:rsidRDefault="00B56F6F" w:rsidP="00B56F6F">
      <w:pPr>
        <w:pStyle w:val="ListParagraph"/>
        <w:numPr>
          <w:ilvl w:val="2"/>
          <w:numId w:val="45"/>
        </w:numPr>
        <w:jc w:val="both"/>
        <w:rPr>
          <w:rFonts w:ascii="Times New Roman" w:eastAsia="Times New Roman" w:hAnsi="Times New Roman"/>
          <w:sz w:val="24"/>
          <w:szCs w:val="24"/>
          <w:lang w:eastAsia="en-US"/>
        </w:rPr>
      </w:pPr>
      <w:r w:rsidRPr="00B56F6F">
        <w:rPr>
          <w:rFonts w:ascii="Times New Roman" w:eastAsia="Times New Roman" w:hAnsi="Times New Roman"/>
          <w:sz w:val="24"/>
          <w:szCs w:val="24"/>
          <w:lang w:eastAsia="en-US"/>
        </w:rPr>
        <w:t>Užsakovui pareikalavus, pateikti informaciją apie Statytojo ir Rangovo tarpusavio atsiskaitymus įgyvendinant Sutartį;</w:t>
      </w:r>
    </w:p>
    <w:bookmarkEnd w:id="50"/>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1"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1"/>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2"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3" w:name="_Hlk122526384"/>
      <w:bookmarkEnd w:id="52"/>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3"/>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3FD9AA58" w:rsidR="00693AEE" w:rsidRPr="009A2D67" w:rsidRDefault="007C713C"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4"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4"/>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71911444"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5"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5"/>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Statytoju ir </w:t>
      </w:r>
      <w:bookmarkStart w:id="56" w:name="_Hlk126060304"/>
      <w:r w:rsidR="00F93CE8" w:rsidRPr="009A2D67">
        <w:rPr>
          <w:rFonts w:ascii="Times New Roman" w:eastAsia="Times New Roman" w:hAnsi="Times New Roman"/>
          <w:sz w:val="24"/>
          <w:szCs w:val="24"/>
        </w:rPr>
        <w:t xml:space="preserve">techniniu prižiūrėtoju </w:t>
      </w:r>
      <w:bookmarkEnd w:id="56"/>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77777777"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priimti pagal Statybvietės priėmimo – perdavimo aktą (Sutarties 7 priedas) objektą iš Statytojo,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77777777"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57" w:name="_Hlk186442226"/>
      <w:r w:rsidR="00FE1704"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bookmarkEnd w:id="57"/>
    </w:p>
    <w:p w14:paraId="7732598D" w14:textId="42226A13"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 xml:space="preserve">pateikti Užsakovui </w:t>
      </w:r>
      <w:bookmarkStart w:id="58" w:name="_Hlk98075437"/>
      <w:r w:rsidR="005773FC" w:rsidRPr="00FE1704">
        <w:rPr>
          <w:rFonts w:ascii="Times New Roman" w:eastAsia="Times New Roman" w:hAnsi="Times New Roman"/>
          <w:sz w:val="24"/>
          <w:szCs w:val="24"/>
        </w:rPr>
        <w:t xml:space="preserve">ir </w:t>
      </w:r>
      <w:r w:rsidR="001F7B35" w:rsidRPr="00FE1704">
        <w:rPr>
          <w:rFonts w:ascii="Times New Roman" w:eastAsia="Times New Roman" w:hAnsi="Times New Roman"/>
          <w:sz w:val="24"/>
          <w:szCs w:val="24"/>
        </w:rPr>
        <w:t>Staty</w:t>
      </w:r>
      <w:r w:rsidR="005773FC" w:rsidRPr="00FE1704">
        <w:rPr>
          <w:rFonts w:ascii="Times New Roman" w:eastAsia="Times New Roman" w:hAnsi="Times New Roman"/>
          <w:sz w:val="24"/>
          <w:szCs w:val="24"/>
        </w:rPr>
        <w:t xml:space="preserve">tojui </w:t>
      </w:r>
      <w:bookmarkEnd w:id="58"/>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ir Statytojui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59"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lastRenderedPageBreak/>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59"/>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7777777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0"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0"/>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1"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1"/>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2"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2"/>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61975FD3"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3" w:name="_Hlk64292105"/>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toju</w:t>
      </w:r>
      <w:bookmarkEnd w:id="63"/>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4869C8FA"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lastRenderedPageBreak/>
        <w:t xml:space="preserve">sustabdyti Darbų vykdymą tuo atveju, jei Užsakovas </w:t>
      </w:r>
      <w:bookmarkStart w:id="64" w:name="_Hlk64291831"/>
      <w:r w:rsidR="0035562E" w:rsidRPr="009A2D67">
        <w:rPr>
          <w:rFonts w:ascii="Times New Roman" w:eastAsia="Times New Roman" w:hAnsi="Times New Roman"/>
          <w:color w:val="000000" w:themeColor="text1"/>
          <w:sz w:val="24"/>
          <w:szCs w:val="24"/>
        </w:rPr>
        <w:t>ir</w:t>
      </w:r>
      <w:r w:rsidR="00576799" w:rsidRPr="009A2D67">
        <w:rPr>
          <w:rFonts w:ascii="Times New Roman" w:eastAsia="Times New Roman" w:hAnsi="Times New Roman"/>
          <w:color w:val="000000" w:themeColor="text1"/>
          <w:sz w:val="24"/>
          <w:szCs w:val="24"/>
        </w:rPr>
        <w:t xml:space="preserve"> (</w:t>
      </w:r>
      <w:r w:rsidR="0035562E" w:rsidRPr="009A2D67">
        <w:rPr>
          <w:rFonts w:ascii="Times New Roman" w:eastAsia="Times New Roman" w:hAnsi="Times New Roman"/>
          <w:color w:val="000000" w:themeColor="text1"/>
          <w:sz w:val="24"/>
          <w:szCs w:val="24"/>
        </w:rPr>
        <w:t>arba</w:t>
      </w:r>
      <w:r w:rsidR="00576799" w:rsidRPr="009A2D67">
        <w:rPr>
          <w:rFonts w:ascii="Times New Roman" w:eastAsia="Times New Roman" w:hAnsi="Times New Roman"/>
          <w:color w:val="000000" w:themeColor="text1"/>
          <w:sz w:val="24"/>
          <w:szCs w:val="24"/>
        </w:rPr>
        <w:t>)</w:t>
      </w:r>
      <w:r w:rsidR="0035562E" w:rsidRPr="009A2D67">
        <w:rPr>
          <w:rFonts w:ascii="Times New Roman" w:eastAsia="Times New Roman" w:hAnsi="Times New Roman"/>
          <w:color w:val="000000" w:themeColor="text1"/>
          <w:sz w:val="24"/>
          <w:szCs w:val="24"/>
        </w:rPr>
        <w:t xml:space="preserve"> </w:t>
      </w:r>
      <w:r w:rsidR="007C713C" w:rsidRPr="009A2D67">
        <w:rPr>
          <w:rFonts w:ascii="Times New Roman" w:eastAsia="Times New Roman" w:hAnsi="Times New Roman"/>
          <w:color w:val="000000" w:themeColor="text1"/>
          <w:sz w:val="24"/>
          <w:szCs w:val="24"/>
        </w:rPr>
        <w:t>Statytojas</w:t>
      </w:r>
      <w:r w:rsidR="0035562E" w:rsidRPr="009A2D67">
        <w:rPr>
          <w:rFonts w:ascii="Times New Roman" w:eastAsia="Times New Roman" w:hAnsi="Times New Roman"/>
          <w:color w:val="000000" w:themeColor="text1"/>
          <w:sz w:val="24"/>
          <w:szCs w:val="24"/>
        </w:rPr>
        <w:t xml:space="preserve"> </w:t>
      </w:r>
      <w:bookmarkEnd w:id="64"/>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 xml:space="preserve">0 kalendorinių dienų neatsiskaito už Rangovo atliktus Darbus. Rangovas, prieš pasinaudodamas savo teise į Darbų sustabdymą, privalo apie tai raštu informuoti Užsakovą </w:t>
      </w:r>
      <w:r w:rsidR="0035562E" w:rsidRPr="009A2D67">
        <w:rPr>
          <w:rFonts w:ascii="Times New Roman" w:eastAsia="Times New Roman" w:hAnsi="Times New Roman"/>
          <w:color w:val="000000" w:themeColor="text1"/>
          <w:sz w:val="24"/>
          <w:szCs w:val="24"/>
        </w:rPr>
        <w:t xml:space="preserve">ir </w:t>
      </w:r>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 xml:space="preserve">toją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4F4BDC3"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F5D6A" w:rsidRPr="009A2D67">
        <w:rPr>
          <w:rFonts w:ascii="Times New Roman" w:eastAsia="Times New Roman" w:hAnsi="Times New Roman"/>
          <w:sz w:val="24"/>
          <w:szCs w:val="24"/>
        </w:rPr>
        <w:t xml:space="preserve">Statytojui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56F3D646"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5"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5"/>
      <w:r w:rsidR="007C713C" w:rsidRPr="009A2D67">
        <w:rPr>
          <w:rFonts w:ascii="Times New Roman" w:hAnsi="Times New Roman"/>
          <w:sz w:val="24"/>
          <w:szCs w:val="24"/>
        </w:rPr>
        <w:t>Statytojas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E159A7A"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Užsakovui </w:t>
      </w:r>
      <w:r w:rsidR="00C40B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uždelsus apmokėjimą pagal Sutartį, Užsakovas </w:t>
      </w:r>
      <w:r w:rsidR="00C40B35" w:rsidRPr="009A2D67">
        <w:rPr>
          <w:rFonts w:ascii="Times New Roman" w:eastAsia="Times New Roman" w:hAnsi="Times New Roman"/>
          <w:sz w:val="24"/>
          <w:szCs w:val="24"/>
        </w:rPr>
        <w:t>ir Statytoj</w:t>
      </w:r>
      <w:r w:rsidR="00B425A2" w:rsidRPr="009A2D67">
        <w:rPr>
          <w:rFonts w:ascii="Times New Roman" w:eastAsia="Times New Roman" w:hAnsi="Times New Roman"/>
          <w:sz w:val="24"/>
          <w:szCs w:val="24"/>
        </w:rPr>
        <w:t>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6"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3B171137"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6"/>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Statytojui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A8ACD60"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67" w:name="_Hlk58941835"/>
      <w:r w:rsidRPr="006B0F43">
        <w:rPr>
          <w:rFonts w:ascii="Times New Roman" w:hAnsi="Times New Roman"/>
          <w:sz w:val="24"/>
          <w:szCs w:val="24"/>
        </w:rPr>
        <w:t>statybos darbų žurnal</w:t>
      </w:r>
      <w:bookmarkEnd w:id="67"/>
      <w:r w:rsidRPr="006B0F43">
        <w:rPr>
          <w:rFonts w:ascii="Times New Roman" w:hAnsi="Times New Roman"/>
          <w:sz w:val="24"/>
          <w:szCs w:val="24"/>
        </w:rPr>
        <w:t xml:space="preserve">o, </w:t>
      </w:r>
      <w:bookmarkStart w:id="68" w:name="_Hlk57810879"/>
      <w:bookmarkStart w:id="69" w:name="_Hlk59092250"/>
      <w:r w:rsidRPr="006B0F43">
        <w:rPr>
          <w:rFonts w:ascii="Times New Roman" w:hAnsi="Times New Roman"/>
          <w:sz w:val="24"/>
          <w:szCs w:val="24"/>
        </w:rPr>
        <w:t>Užsakov</w:t>
      </w:r>
      <w:bookmarkEnd w:id="68"/>
      <w:r w:rsidRPr="006B0F43">
        <w:rPr>
          <w:rFonts w:ascii="Times New Roman" w:hAnsi="Times New Roman"/>
          <w:sz w:val="24"/>
          <w:szCs w:val="24"/>
        </w:rPr>
        <w:t xml:space="preserve">o rašytiniu reikalavimu jis moka Užsakovui </w:t>
      </w:r>
      <w:bookmarkEnd w:id="69"/>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6A544C7B"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(statytojo)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510BCBF9"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7C713C" w:rsidRPr="009A2D67">
        <w:rPr>
          <w:rFonts w:ascii="Times New Roman" w:hAnsi="Times New Roman"/>
          <w:sz w:val="24"/>
          <w:szCs w:val="24"/>
        </w:rPr>
        <w:t>Statytojas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lastRenderedPageBreak/>
        <w:t>Šalys negali vykdyti Sutarties dėl priežasčių (force majeure), nepriklausančių nuo Sutartį pasirašiusiųjų Šalių;</w:t>
      </w:r>
    </w:p>
    <w:p w14:paraId="73B24383" w14:textId="2E38F73A"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w:t>
      </w:r>
      <w:r w:rsidR="00B425A2" w:rsidRPr="009A2D67">
        <w:rPr>
          <w:rFonts w:ascii="Times New Roman" w:eastAsia="Times New Roman" w:hAnsi="Times New Roman"/>
          <w:sz w:val="24"/>
          <w:szCs w:val="24"/>
        </w:rPr>
        <w:t xml:space="preserve"> ir Statytojas</w:t>
      </w:r>
      <w:r w:rsidRPr="009A2D67">
        <w:rPr>
          <w:rFonts w:ascii="Times New Roman" w:hAnsi="Times New Roman"/>
          <w:color w:val="000000" w:themeColor="text1"/>
          <w:sz w:val="24"/>
          <w:szCs w:val="24"/>
        </w:rPr>
        <w:t xml:space="preserve">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52583C7D"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0" w:name="_Hlk99034324"/>
      <w:bookmarkStart w:id="71"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0"/>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Statytoju ir Užsakovo techniniu prižiūrėtoju suderinto Darbų atlikimo grafiko (Sutarties 5.1.3 p.), Rangovui taikoma 1 000,00 Eur dydžio bauda, </w:t>
      </w:r>
      <w:bookmarkStart w:id="72"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2"/>
      <w:r w:rsidR="00025883" w:rsidRPr="00025883">
        <w:rPr>
          <w:rFonts w:ascii="Times New Roman" w:eastAsia="Times New Roman" w:hAnsi="Times New Roman"/>
          <w:color w:val="000000" w:themeColor="text1"/>
          <w:sz w:val="24"/>
          <w:szCs w:val="24"/>
        </w:rPr>
        <w:t xml:space="preserve">. </w:t>
      </w:r>
      <w:bookmarkStart w:id="73" w:name="_Hlk64619988"/>
      <w:bookmarkStart w:id="74" w:name="_Hlk64292894"/>
      <w:bookmarkStart w:id="75"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3"/>
      <w:bookmarkEnd w:id="74"/>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76" w:name="_Hlk99097939"/>
      <w:bookmarkStart w:id="77" w:name="_Hlk186442641"/>
      <w:bookmarkEnd w:id="75"/>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6"/>
      <w:r>
        <w:rPr>
          <w:rFonts w:ascii="Times New Roman" w:eastAsia="Times New Roman" w:hAnsi="Times New Roman"/>
          <w:sz w:val="24"/>
          <w:szCs w:val="24"/>
          <w:lang w:eastAsia="en-US"/>
        </w:rPr>
        <w:t>.</w:t>
      </w:r>
    </w:p>
    <w:bookmarkEnd w:id="77"/>
    <w:p w14:paraId="74875666" w14:textId="463540A5"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78" w:name="_Hlk42517788"/>
      <w:r w:rsidRPr="00025883">
        <w:rPr>
          <w:rFonts w:ascii="Times New Roman" w:hAnsi="Times New Roman"/>
          <w:color w:val="000000" w:themeColor="text1"/>
          <w:sz w:val="24"/>
          <w:szCs w:val="24"/>
        </w:rPr>
        <w:t xml:space="preserve">per 14 kalendorinių dienų neatsiskaito su subrangovais ar medžiagų tiekėjais už atliktus pagal Sutartį Užsakovo objekte darbus ar pateiktas medžiagas, už kuriuos Užsakovas </w:t>
      </w:r>
      <w:r w:rsidR="00B425A2" w:rsidRPr="00025883">
        <w:rPr>
          <w:rFonts w:ascii="Times New Roman" w:eastAsia="Times New Roman" w:hAnsi="Times New Roman"/>
          <w:sz w:val="24"/>
          <w:szCs w:val="24"/>
        </w:rPr>
        <w:t xml:space="preserve">ir Statytojas </w:t>
      </w:r>
      <w:r w:rsidRPr="00025883">
        <w:rPr>
          <w:rFonts w:ascii="Times New Roman" w:hAnsi="Times New Roman"/>
          <w:color w:val="000000" w:themeColor="text1"/>
          <w:sz w:val="24"/>
          <w:szCs w:val="24"/>
        </w:rPr>
        <w:t>atsiskaito su Rangovu</w:t>
      </w:r>
      <w:bookmarkEnd w:id="78"/>
      <w:r w:rsidRPr="00025883">
        <w:rPr>
          <w:rFonts w:ascii="Times New Roman" w:hAnsi="Times New Roman"/>
          <w:color w:val="000000" w:themeColor="text1"/>
          <w:sz w:val="24"/>
          <w:szCs w:val="24"/>
        </w:rPr>
        <w:t>, Užsakovas</w:t>
      </w:r>
      <w:r w:rsidR="00192235" w:rsidRPr="00025883">
        <w:rPr>
          <w:rFonts w:ascii="Times New Roman" w:eastAsia="Times New Roman" w:hAnsi="Times New Roman"/>
          <w:sz w:val="24"/>
          <w:szCs w:val="24"/>
        </w:rPr>
        <w:t xml:space="preserve"> ir Statytojas</w:t>
      </w:r>
      <w:r w:rsidRPr="00025883">
        <w:rPr>
          <w:rFonts w:ascii="Times New Roman" w:hAnsi="Times New Roman"/>
          <w:color w:val="000000" w:themeColor="text1"/>
          <w:sz w:val="24"/>
          <w:szCs w:val="24"/>
        </w:rPr>
        <w:t xml:space="preserve">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1"/>
    <w:p w14:paraId="070A7F78" w14:textId="5C2C6D2B"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79" w:name="_Hlk43396223"/>
      <w:r w:rsidRPr="009A2D67">
        <w:rPr>
          <w:rFonts w:ascii="Times New Roman" w:hAnsi="Times New Roman"/>
          <w:sz w:val="24"/>
          <w:szCs w:val="24"/>
        </w:rPr>
        <w:t>Užsakovui</w:t>
      </w:r>
      <w:r w:rsidR="00192235" w:rsidRPr="009A2D67">
        <w:rPr>
          <w:rFonts w:ascii="Times New Roman" w:eastAsia="Times New Roman" w:hAnsi="Times New Roman"/>
          <w:sz w:val="24"/>
          <w:szCs w:val="24"/>
        </w:rPr>
        <w:t xml:space="preserve"> ar Statytojui</w:t>
      </w:r>
      <w:r w:rsidRPr="009A2D67">
        <w:rPr>
          <w:rFonts w:ascii="Times New Roman" w:hAnsi="Times New Roman"/>
          <w:sz w:val="24"/>
          <w:szCs w:val="24"/>
        </w:rPr>
        <w:t xml:space="preserve"> pareikalavus raštu, moka Užsakovui</w:t>
      </w:r>
      <w:r w:rsidR="00192235" w:rsidRPr="009A2D67">
        <w:rPr>
          <w:rFonts w:ascii="Times New Roman" w:eastAsia="Times New Roman" w:hAnsi="Times New Roman"/>
          <w:sz w:val="24"/>
          <w:szCs w:val="24"/>
        </w:rPr>
        <w:t xml:space="preserve"> ir Statytojui</w:t>
      </w:r>
      <w:r w:rsidRPr="009A2D67">
        <w:rPr>
          <w:rFonts w:ascii="Times New Roman" w:hAnsi="Times New Roman"/>
          <w:sz w:val="24"/>
          <w:szCs w:val="24"/>
        </w:rPr>
        <w:t xml:space="preserve">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79"/>
      <w:r w:rsidRPr="009A2D67">
        <w:rPr>
          <w:rFonts w:ascii="Times New Roman" w:hAnsi="Times New Roman"/>
          <w:sz w:val="24"/>
          <w:szCs w:val="24"/>
        </w:rPr>
        <w:t xml:space="preserve">nuo nesumokėtos sumos dydžio baudą, kurią Rangovas turi sumokėti Užsakovui </w:t>
      </w:r>
      <w:r w:rsidR="001922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per 30 kalendorinių dienų. Užsakovas </w:t>
      </w:r>
      <w:r w:rsidR="00192235" w:rsidRPr="009A2D67">
        <w:rPr>
          <w:rFonts w:ascii="Times New Roman" w:eastAsia="Times New Roman" w:hAnsi="Times New Roman"/>
          <w:sz w:val="24"/>
          <w:szCs w:val="24"/>
        </w:rPr>
        <w:t xml:space="preserve">ir Statytojas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Pr="009A2D67">
        <w:rPr>
          <w:rFonts w:ascii="Times New Roman" w:hAnsi="Times New Roman"/>
          <w:sz w:val="24"/>
          <w:szCs w:val="24"/>
        </w:rPr>
        <w:t xml:space="preserve">nurodytos baudos, jeigu Rangovas sutinka </w:t>
      </w:r>
      <w:bookmarkStart w:id="80"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 xml:space="preserve">ir padengia įsiskolinimus subrangovams arba medžiagų tiekėjams už Užsakovo </w:t>
      </w:r>
      <w:r w:rsidR="00192235" w:rsidRPr="009A2D67">
        <w:rPr>
          <w:rFonts w:ascii="Times New Roman" w:eastAsia="Times New Roman" w:hAnsi="Times New Roman"/>
          <w:sz w:val="24"/>
          <w:szCs w:val="24"/>
        </w:rPr>
        <w:t xml:space="preserve">ir Statytojo </w:t>
      </w:r>
      <w:r w:rsidRPr="009A2D67">
        <w:rPr>
          <w:rFonts w:ascii="Times New Roman" w:hAnsi="Times New Roman"/>
          <w:bCs/>
          <w:sz w:val="24"/>
          <w:szCs w:val="24"/>
        </w:rPr>
        <w:t>apmokėtus Darbus</w:t>
      </w:r>
      <w:r w:rsidRPr="009A2D67">
        <w:rPr>
          <w:rFonts w:ascii="Times New Roman" w:hAnsi="Times New Roman"/>
          <w:sz w:val="24"/>
          <w:szCs w:val="24"/>
        </w:rPr>
        <w:t>.</w:t>
      </w:r>
      <w:bookmarkEnd w:id="80"/>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1"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 xml:space="preserve">angovas per 10 d. d. nuo Užsakovo raštu išsiųsto reikalavimo sumoka 50 proc. skirtos </w:t>
      </w:r>
      <w:r w:rsidRPr="00F6081E">
        <w:rPr>
          <w:rFonts w:ascii="Times New Roman" w:eastAsia="Times New Roman" w:hAnsi="Times New Roman"/>
          <w:sz w:val="24"/>
          <w:szCs w:val="24"/>
        </w:rPr>
        <w:lastRenderedPageBreak/>
        <w:t>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1"/>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5C36BF1D"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2" w:name="_Hlk64294215"/>
      <w:r w:rsidRPr="009A2D67">
        <w:rPr>
          <w:rFonts w:ascii="Times New Roman" w:eastAsia="Times New Roman" w:hAnsi="Times New Roman"/>
          <w:iCs/>
          <w:sz w:val="24"/>
          <w:szCs w:val="24"/>
        </w:rPr>
        <w:t>Užsakovas</w:t>
      </w:r>
      <w:r w:rsidR="00086A9C" w:rsidRPr="009A2D67">
        <w:t xml:space="preserve"> </w:t>
      </w:r>
      <w:bookmarkEnd w:id="82"/>
      <w:r w:rsidR="00845827" w:rsidRPr="009A2D67">
        <w:rPr>
          <w:rFonts w:ascii="Times New Roman" w:eastAsia="Times New Roman" w:hAnsi="Times New Roman"/>
          <w:sz w:val="24"/>
          <w:szCs w:val="24"/>
        </w:rPr>
        <w:t xml:space="preserve">ir Statytojas </w:t>
      </w:r>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3"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3"/>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77777777"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lastRenderedPageBreak/>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(statytoju)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4"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5" w:name="_Hlk140582668"/>
      <w:bookmarkStart w:id="86" w:name="_Hlk140655085"/>
      <w:bookmarkEnd w:id="84"/>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5"/>
      <w:r w:rsidR="00815596" w:rsidRPr="00B73432">
        <w:rPr>
          <w:rFonts w:ascii="Times New Roman" w:eastAsia="Times New Roman" w:hAnsi="Times New Roman"/>
          <w:color w:val="404040" w:themeColor="text1" w:themeTint="BF"/>
          <w:sz w:val="24"/>
          <w:szCs w:val="24"/>
        </w:rPr>
        <w:t xml:space="preserve">, išnagrinėjusi </w:t>
      </w:r>
      <w:bookmarkEnd w:id="86"/>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77777777"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(statytoju)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87"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87"/>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88"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88"/>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echniniam prižiūrėtojui. Užsakovas, </w:t>
      </w:r>
      <w:r w:rsidRPr="000C09EF">
        <w:rPr>
          <w:rFonts w:ascii="Times New Roman" w:eastAsia="Times New Roman" w:hAnsi="Times New Roman"/>
          <w:sz w:val="24"/>
          <w:szCs w:val="24"/>
        </w:rPr>
        <w:lastRenderedPageBreak/>
        <w:t>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89"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89"/>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17C0199C"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0" w:name="_Hlk186442991"/>
      <w:r w:rsidR="000C09EF" w:rsidRPr="000C09EF">
        <w:rPr>
          <w:rFonts w:ascii="Times New Roman" w:eastAsia="MS Mincho" w:hAnsi="Times New Roman"/>
          <w:color w:val="000000" w:themeColor="text1"/>
          <w:sz w:val="24"/>
          <w:szCs w:val="24"/>
          <w:lang w:eastAsia="lt-LT"/>
        </w:rPr>
        <w:t>įregistravimo</w:t>
      </w:r>
      <w:bookmarkEnd w:id="90"/>
      <w:r w:rsidRPr="009A2D67">
        <w:rPr>
          <w:rFonts w:ascii="Times New Roman" w:eastAsia="MS Mincho" w:hAnsi="Times New Roman"/>
          <w:color w:val="000000" w:themeColor="text1"/>
          <w:sz w:val="24"/>
          <w:szCs w:val="24"/>
          <w:lang w:eastAsia="lt-LT"/>
        </w:rPr>
        <w:t xml:space="preserve"> dienos privalo Užsakovui pateikti</w:t>
      </w:r>
      <w:bookmarkStart w:id="91"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 xml:space="preserve">ą </w:t>
      </w:r>
      <w:r w:rsidR="0096066E" w:rsidRPr="009A2D67">
        <w:rPr>
          <w:rFonts w:ascii="Times New Roman" w:eastAsia="MS Mincho" w:hAnsi="Times New Roman"/>
          <w:color w:val="000000" w:themeColor="text1"/>
          <w:sz w:val="24"/>
          <w:szCs w:val="24"/>
          <w:lang w:eastAsia="lt-LT"/>
        </w:rPr>
        <w:lastRenderedPageBreak/>
        <w:t>patvirtinantį dokumentą</w:t>
      </w:r>
      <w:r w:rsidR="009065B6" w:rsidRPr="009A2D67">
        <w:rPr>
          <w:rFonts w:ascii="Times New Roman" w:eastAsia="MS Mincho" w:hAnsi="Times New Roman"/>
          <w:color w:val="000000" w:themeColor="text1"/>
          <w:sz w:val="24"/>
          <w:szCs w:val="24"/>
          <w:lang w:eastAsia="lt-LT"/>
        </w:rPr>
        <w:t xml:space="preserve"> </w:t>
      </w:r>
      <w:bookmarkStart w:id="92"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2"/>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1"/>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397E48">
        <w:rPr>
          <w:rFonts w:ascii="Times New Roman" w:eastAsia="Times New Roman" w:hAnsi="Times New Roman"/>
          <w:b/>
          <w:bCs/>
          <w:sz w:val="24"/>
          <w:szCs w:val="24"/>
        </w:rPr>
        <w:t>8</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3"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3"/>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4"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4"/>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386D3B33"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1F7B35" w:rsidRPr="009A2D67">
        <w:rPr>
          <w:rFonts w:ascii="Times New Roman" w:eastAsia="Times New Roman" w:hAnsi="Times New Roman"/>
          <w:sz w:val="24"/>
          <w:szCs w:val="24"/>
        </w:rPr>
        <w:t>Staty</w:t>
      </w:r>
      <w:r w:rsidR="00086A9C" w:rsidRPr="009A2D67">
        <w:rPr>
          <w:rFonts w:ascii="Times New Roman" w:eastAsia="MS Mincho" w:hAnsi="Times New Roman"/>
          <w:sz w:val="24"/>
          <w:szCs w:val="24"/>
          <w:lang w:eastAsia="lt-LT"/>
        </w:rPr>
        <w:t xml:space="preserve">tojo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5" w:name="_Hlk57799897"/>
      <w:r w:rsidRPr="009A2D67">
        <w:rPr>
          <w:rFonts w:ascii="Times New Roman" w:eastAsia="MS Mincho" w:hAnsi="Times New Roman"/>
          <w:sz w:val="24"/>
          <w:szCs w:val="24"/>
          <w:lang w:eastAsia="lt-LT"/>
        </w:rPr>
        <w:t>esminių Sutarties sąlygų pažeidimu</w:t>
      </w:r>
      <w:bookmarkEnd w:id="95"/>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6"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6"/>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w:t>
      </w:r>
      <w:r w:rsidRPr="009A2D67">
        <w:rPr>
          <w:rFonts w:ascii="Times New Roman" w:eastAsia="MS Mincho" w:hAnsi="Times New Roman"/>
          <w:color w:val="000000" w:themeColor="text1"/>
          <w:sz w:val="24"/>
          <w:szCs w:val="24"/>
          <w:lang w:eastAsia="lt-LT"/>
        </w:rPr>
        <w:lastRenderedPageBreak/>
        <w:t>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97"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98" w:name="_Hlk57799731"/>
      <w:bookmarkEnd w:id="97"/>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98"/>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6AFE234F"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7C713C" w:rsidRPr="009A2D67">
        <w:rPr>
          <w:rFonts w:ascii="Times New Roman" w:eastAsia="MS Mincho" w:hAnsi="Times New Roman"/>
          <w:sz w:val="24"/>
          <w:szCs w:val="24"/>
        </w:rPr>
        <w:t>Statytojas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Statytojui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Statytojo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99"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99"/>
    </w:p>
    <w:p w14:paraId="3CCF2AE3" w14:textId="23790B36"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1F7B35" w:rsidRPr="009A2D67">
        <w:rPr>
          <w:rFonts w:ascii="Times New Roman" w:eastAsia="Times New Roman" w:hAnsi="Times New Roman"/>
          <w:sz w:val="24"/>
          <w:szCs w:val="24"/>
        </w:rPr>
        <w:t>Staty</w:t>
      </w:r>
      <w:r w:rsidR="00BA5440" w:rsidRPr="009A2D67">
        <w:rPr>
          <w:rFonts w:ascii="Times New Roman" w:eastAsia="MS Mincho" w:hAnsi="Times New Roman"/>
          <w:sz w:val="24"/>
          <w:szCs w:val="24"/>
          <w:lang w:eastAsia="lt-LT"/>
        </w:rPr>
        <w:t>toją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D8C6F9F"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1F7B35" w:rsidRPr="009A2D67">
        <w:rPr>
          <w:rFonts w:ascii="Times New Roman" w:eastAsia="Times New Roman" w:hAnsi="Times New Roman"/>
          <w:sz w:val="24"/>
          <w:szCs w:val="24"/>
        </w:rPr>
        <w:t>Statyt</w:t>
      </w:r>
      <w:r w:rsidR="00BA5440" w:rsidRPr="009A2D67">
        <w:rPr>
          <w:rFonts w:ascii="Times New Roman" w:hAnsi="Times New Roman"/>
          <w:sz w:val="24"/>
          <w:szCs w:val="24"/>
        </w:rPr>
        <w:t>ojui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lastRenderedPageBreak/>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1C9D0D8"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AA0089" w:rsidRPr="009A2D67">
        <w:rPr>
          <w:rFonts w:ascii="Times New Roman" w:eastAsia="Times New Roman" w:hAnsi="Times New Roman"/>
          <w:sz w:val="24"/>
          <w:szCs w:val="24"/>
        </w:rPr>
        <w:t xml:space="preserve"> ir Statytojo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AA0089" w:rsidRPr="009A2D67">
        <w:rPr>
          <w:rFonts w:ascii="Times New Roman" w:eastAsia="Times New Roman" w:hAnsi="Times New Roman"/>
          <w:sz w:val="24"/>
          <w:szCs w:val="24"/>
        </w:rPr>
        <w:t xml:space="preserve"> ir Statytojo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0"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1"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0"/>
    <w:bookmarkEnd w:id="101"/>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įsipareigoja tinkamai informuoti visus fizinius asmenis (darbuotojus, įgaliotinius, valdymo organų narius, savo subtiekėjų darbuotojus ir kitus atstovus), kurie bus pasitelkti </w:t>
      </w:r>
      <w:r w:rsidRPr="009A2D67">
        <w:rPr>
          <w:rFonts w:ascii="Times New Roman" w:eastAsia="Times New Roman" w:hAnsi="Times New Roman"/>
          <w:sz w:val="24"/>
          <w:szCs w:val="24"/>
        </w:rPr>
        <w:lastRenderedPageBreak/>
        <w:t>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152194B0"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2" w:name="_Hlk97795250"/>
      <w:r w:rsidRPr="000C09EF">
        <w:rPr>
          <w:rFonts w:ascii="Times New Roman" w:eastAsia="Arial" w:hAnsi="Times New Roman"/>
          <w:color w:val="000000" w:themeColor="text1"/>
          <w:sz w:val="24"/>
          <w:szCs w:val="24"/>
          <w:lang w:eastAsia="lt-LT"/>
        </w:rPr>
        <w:t xml:space="preserve">per </w:t>
      </w:r>
      <w:bookmarkStart w:id="103" w:name="_Hlk74300444"/>
      <w:bookmarkStart w:id="104" w:name="_Hlk122531016"/>
      <w:bookmarkStart w:id="105" w:name="_Hlk59013783"/>
      <w:bookmarkEnd w:id="102"/>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Statytoju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3"/>
      <w:r w:rsidRPr="000C09EF">
        <w:rPr>
          <w:rFonts w:ascii="Times New Roman" w:eastAsia="Times New Roman" w:hAnsi="Times New Roman"/>
          <w:color w:val="000000" w:themeColor="text1"/>
          <w:sz w:val="24"/>
          <w:szCs w:val="24"/>
        </w:rPr>
        <w:t>grafiką</w:t>
      </w:r>
      <w:bookmarkEnd w:id="104"/>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5"/>
      <w:r w:rsidR="000C09EF" w:rsidRPr="000C09EF">
        <w:rPr>
          <w:rFonts w:ascii="Times New Roman" w:eastAsia="Arial" w:hAnsi="Times New Roman"/>
          <w:color w:val="000000" w:themeColor="text1"/>
          <w:sz w:val="24"/>
          <w:szCs w:val="24"/>
          <w:lang w:eastAsia="lt-LT"/>
        </w:rPr>
        <w:t xml:space="preserve">Rangovas turi pateikti Užsakovui savo pasiūlymo </w:t>
      </w:r>
      <w:r w:rsidR="00397E48">
        <w:rPr>
          <w:rFonts w:ascii="Times New Roman" w:eastAsia="Arial" w:hAnsi="Times New Roman"/>
          <w:color w:val="000000" w:themeColor="text1"/>
          <w:sz w:val="24"/>
          <w:szCs w:val="24"/>
          <w:lang w:eastAsia="lt-LT"/>
        </w:rPr>
        <w:t>elektroninę</w:t>
      </w:r>
      <w:r w:rsidR="000C09EF" w:rsidRPr="000C09EF">
        <w:rPr>
          <w:rFonts w:ascii="Times New Roman" w:eastAsia="Arial" w:hAnsi="Times New Roman"/>
          <w:color w:val="000000" w:themeColor="text1"/>
          <w:sz w:val="24"/>
          <w:szCs w:val="24"/>
          <w:lang w:eastAsia="lt-LT"/>
        </w:rPr>
        <w:t xml:space="preserve"> sąmatos versiją „įkainis-resursas“ su detaliais sąmatiniais skaičiavimais, kurių lokalinės sąmatos, parengtos pagal SPSC įregistruotus įkainius, turi atitikti veiklų sąrašo darbų grupes (etapus) ir kopiją šių dokumentų elektroninėje laikmenoje.</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w:t>
      </w:r>
      <w:r w:rsidRPr="009A2D67">
        <w:rPr>
          <w:rFonts w:ascii="Times New Roman" w:eastAsia="MS Mincho" w:hAnsi="Times New Roman"/>
          <w:sz w:val="24"/>
          <w:szCs w:val="24"/>
        </w:rPr>
        <w:lastRenderedPageBreak/>
        <w:t>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6" w:name="_Hlk186443133"/>
      <w:r w:rsidRPr="009A2D67">
        <w:rPr>
          <w:rFonts w:ascii="Times New Roman" w:eastAsia="Times New Roman" w:hAnsi="Times New Roman"/>
          <w:sz w:val="24"/>
          <w:szCs w:val="24"/>
        </w:rPr>
        <w:t>6 priedas</w:t>
      </w:r>
      <w:bookmarkStart w:id="107" w:name="_Hlk186443151"/>
      <w:bookmarkEnd w:id="106"/>
      <w:r w:rsidRPr="004F2BEC">
        <w:rPr>
          <w:rFonts w:ascii="Times New Roman" w:eastAsia="Times New Roman" w:hAnsi="Times New Roman"/>
          <w:sz w:val="24"/>
          <w:szCs w:val="24"/>
        </w:rPr>
        <w:t xml:space="preserve"> „Statybvietės priėmimo – perdavimo aktas“  (pradedant darbus);</w:t>
      </w:r>
    </w:p>
    <w:bookmarkEnd w:id="107"/>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8"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08"/>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2D2419D"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5)  272 4095,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09" w:name="_Hlk155248023"/>
      <w:bookmarkStart w:id="110" w:name="_Hlk160533497"/>
      <w:r w:rsidR="00B913F5" w:rsidRPr="009A2D67">
        <w:rPr>
          <w:rFonts w:ascii="Times New Roman" w:eastAsia="Times New Roman" w:hAnsi="Times New Roman"/>
          <w:sz w:val="24"/>
          <w:szCs w:val="24"/>
        </w:rPr>
        <w:t>LT69 4040 0636 1000 0273</w:t>
      </w:r>
      <w:bookmarkEnd w:id="109"/>
      <w:r w:rsidR="00B913F5" w:rsidRPr="009A2D67">
        <w:rPr>
          <w:rFonts w:ascii="Times New Roman" w:eastAsia="Times New Roman" w:hAnsi="Times New Roman"/>
          <w:sz w:val="24"/>
          <w:szCs w:val="24"/>
        </w:rPr>
        <w:t>, Lietuvos Respublikos finansų ministerija.</w:t>
      </w:r>
    </w:p>
    <w:bookmarkEnd w:id="110"/>
    <w:p w14:paraId="143980EA" w14:textId="344153C3"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7C713C" w:rsidRPr="009A2D67">
        <w:rPr>
          <w:rFonts w:ascii="Times New Roman" w:eastAsia="Times New Roman" w:hAnsi="Times New Roman"/>
          <w:sz w:val="24"/>
          <w:szCs w:val="24"/>
        </w:rPr>
        <w:t>Statytojas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1"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rPr>
              <w:t>Statytojas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2"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1"/>
      <w:bookmarkEnd w:id="112"/>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25EF7560" w:rsidR="00272341" w:rsidRPr="00FC6334" w:rsidRDefault="00397E48" w:rsidP="00932ABE">
            <w:pPr>
              <w:shd w:val="clear" w:color="auto" w:fill="FFFFFF" w:themeFill="background1"/>
              <w:rPr>
                <w:rFonts w:ascii="Times New Roman" w:eastAsia="Times New Roman" w:hAnsi="Times New Roman"/>
                <w:b/>
                <w:caps/>
                <w:sz w:val="24"/>
                <w:szCs w:val="24"/>
                <w:lang w:eastAsia="zh-CN"/>
              </w:rPr>
            </w:pPr>
            <w:r w:rsidRPr="00397E48">
              <w:rPr>
                <w:rFonts w:ascii="Times New Roman" w:hAnsi="Times New Roman"/>
              </w:rPr>
              <w:t>Lentvario dvaro sodybos rūmų (u. k. KVR 22202), Trakų rajono sav., Lentvario sen., Lentvario m., Klevų al. 48, polichrominio sienų dekoro restauravimo, konservavimo darbai</w:t>
            </w:r>
            <w:r>
              <w:rPr>
                <w:rFonts w:ascii="Times New Roman" w:hAnsi="Times New Roman"/>
              </w:rPr>
              <w:t>:</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BCE7A77" w:rsidR="00272341" w:rsidRPr="00FC6334" w:rsidRDefault="00397E48" w:rsidP="00932ABE">
            <w:pPr>
              <w:shd w:val="clear" w:color="auto" w:fill="FFFFFF" w:themeFill="background1"/>
              <w:rPr>
                <w:rFonts w:ascii="Times New Roman" w:eastAsia="Times New Roman" w:hAnsi="Times New Roman"/>
                <w:sz w:val="24"/>
                <w:szCs w:val="24"/>
              </w:rPr>
            </w:pPr>
            <w:proofErr w:type="spellStart"/>
            <w:r w:rsidRPr="00397E48">
              <w:rPr>
                <w:rFonts w:ascii="Times New Roman" w:hAnsi="Times New Roman"/>
                <w:sz w:val="24"/>
                <w:szCs w:val="24"/>
                <w:lang w:val="en-US"/>
              </w:rPr>
              <w:t>Polichrominis</w:t>
            </w:r>
            <w:proofErr w:type="spellEnd"/>
            <w:r w:rsidRPr="00397E48">
              <w:rPr>
                <w:rFonts w:ascii="Times New Roman" w:hAnsi="Times New Roman"/>
                <w:sz w:val="24"/>
                <w:szCs w:val="24"/>
                <w:lang w:val="en-US"/>
              </w:rPr>
              <w:t xml:space="preserve"> </w:t>
            </w:r>
            <w:proofErr w:type="spellStart"/>
            <w:r w:rsidRPr="00397E48">
              <w:rPr>
                <w:rFonts w:ascii="Times New Roman" w:hAnsi="Times New Roman"/>
                <w:sz w:val="24"/>
                <w:szCs w:val="24"/>
                <w:lang w:val="en-US"/>
              </w:rPr>
              <w:t>sienų</w:t>
            </w:r>
            <w:proofErr w:type="spellEnd"/>
            <w:r w:rsidRPr="00397E48">
              <w:rPr>
                <w:rFonts w:ascii="Times New Roman" w:hAnsi="Times New Roman"/>
                <w:sz w:val="24"/>
                <w:szCs w:val="24"/>
                <w:lang w:val="en-US"/>
              </w:rPr>
              <w:t xml:space="preserve"> </w:t>
            </w:r>
            <w:proofErr w:type="spellStart"/>
            <w:r w:rsidRPr="00397E48">
              <w:rPr>
                <w:rFonts w:ascii="Times New Roman" w:hAnsi="Times New Roman"/>
                <w:sz w:val="24"/>
                <w:szCs w:val="24"/>
                <w:lang w:val="en-US"/>
              </w:rPr>
              <w:t>dekoras</w:t>
            </w:r>
            <w:proofErr w:type="spellEnd"/>
            <w:r>
              <w:rPr>
                <w:rFonts w:ascii="Times New Roman" w:hAnsi="Times New Roman"/>
                <w:sz w:val="24"/>
                <w:szCs w:val="24"/>
                <w:lang w:val="en-US"/>
              </w:rPr>
              <w:t>.</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3" w:name="_Hlk62223086"/>
      <w:bookmarkStart w:id="114"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3"/>
      <w:r w:rsidRPr="009A2D67">
        <w:rPr>
          <w:rFonts w:ascii="Times New Roman" w:eastAsia="Times New Roman" w:hAnsi="Times New Roman"/>
          <w:sz w:val="24"/>
          <w:szCs w:val="24"/>
        </w:rPr>
        <w:t>„Darbų atlikimo grafikas“</w:t>
      </w:r>
    </w:p>
    <w:bookmarkEnd w:id="114"/>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15"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16" w:name="_Hlk97206563"/>
      <w:r w:rsidRPr="009A2D67">
        <w:rPr>
          <w:rFonts w:ascii="Times New Roman" w:hAnsi="Times New Roman"/>
          <w:b/>
        </w:rPr>
        <w:t xml:space="preserve">DARBŲ ATLIKIMO GRAFIKAS  20...... METAMS     </w:t>
      </w:r>
    </w:p>
    <w:bookmarkEnd w:id="116"/>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15"/>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(statytojo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2FA25B81" w:rsidR="00C708B8" w:rsidRPr="009A2D67" w:rsidRDefault="00A76F4C" w:rsidP="00C708B8">
      <w:pPr>
        <w:rPr>
          <w:b/>
        </w:rPr>
      </w:pPr>
      <w:bookmarkStart w:id="117" w:name="_Hlk122531113"/>
      <w:r w:rsidRPr="009A2D67">
        <w:rPr>
          <w:b/>
        </w:rPr>
        <w:t>*</w:t>
      </w:r>
      <w:r w:rsidRPr="009A2D67">
        <w:rPr>
          <w:rFonts w:ascii="Times New Roman" w:hAnsi="Times New Roman"/>
          <w:b/>
          <w:sz w:val="24"/>
          <w:szCs w:val="24"/>
        </w:rPr>
        <w:t xml:space="preserve">Statytojo nurodomos </w:t>
      </w:r>
      <w:r w:rsidR="0060008F" w:rsidRPr="009A2D67">
        <w:rPr>
          <w:rFonts w:ascii="Times New Roman" w:hAnsi="Times New Roman"/>
          <w:b/>
          <w:sz w:val="24"/>
          <w:szCs w:val="24"/>
        </w:rPr>
        <w:t>darbų nevykdymo dienos, kitos sąlygos: ___________________________________________________________</w:t>
      </w:r>
      <w:bookmarkEnd w:id="117"/>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18" w:name="_Hlk62217852"/>
      <w:r w:rsidRPr="009A2D67">
        <w:rPr>
          <w:rFonts w:ascii="Times New Roman" w:eastAsia="Times New Roman" w:hAnsi="Times New Roman"/>
          <w:sz w:val="24"/>
          <w:szCs w:val="24"/>
        </w:rPr>
        <w:t>Kultūros infrastruktūros centrui</w:t>
      </w:r>
    </w:p>
    <w:bookmarkEnd w:id="118"/>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19" w:name="_Hlk62220929"/>
      <w:r w:rsidRPr="009A2D67">
        <w:rPr>
          <w:rFonts w:ascii="Times New Roman" w:eastAsia="Times New Roman" w:hAnsi="Times New Roman"/>
          <w:b/>
          <w:sz w:val="24"/>
          <w:szCs w:val="24"/>
        </w:rPr>
        <w:t>PIRKIMO SUTARTIES ĮVYKDYMO GARANTIJOS FORMA</w:t>
      </w:r>
      <w:bookmarkEnd w:id="119"/>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0"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1" w:name="_Hlk62217927"/>
      <w:bookmarkEnd w:id="120"/>
      <w:r w:rsidRPr="009A2D67">
        <w:rPr>
          <w:rFonts w:ascii="Times New Roman" w:eastAsia="Times New Roman" w:hAnsi="Times New Roman"/>
          <w:sz w:val="24"/>
          <w:szCs w:val="24"/>
        </w:rPr>
        <w:t>Šnipiškių g. 3, LT-09309 Vilnius</w:t>
      </w:r>
    </w:p>
    <w:bookmarkEnd w:id="121"/>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2" w:name="_Hlk62220945"/>
      <w:r w:rsidRPr="009A2D67">
        <w:rPr>
          <w:rFonts w:ascii="Times New Roman" w:eastAsia="Times New Roman" w:hAnsi="Times New Roman"/>
          <w:b/>
          <w:sz w:val="24"/>
          <w:szCs w:val="24"/>
        </w:rPr>
        <w:t>PIRKIMO SUTARTIES ĮVYKDYMO LAIDAVIMO RAŠTO FORMA</w:t>
      </w:r>
    </w:p>
    <w:bookmarkEnd w:id="122"/>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1B706B0F"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(statytojas)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3E397AA1" w14:textId="77777777" w:rsidR="00C708B8" w:rsidRPr="009A2D67" w:rsidRDefault="00C708B8" w:rsidP="00C708B8">
      <w:pPr>
        <w:pStyle w:val="Heading1"/>
        <w:spacing w:line="340" w:lineRule="exact"/>
      </w:pPr>
      <w:r w:rsidRPr="009A2D67">
        <w:t>PAŽYMA Nr.</w:t>
      </w:r>
    </w:p>
    <w:p w14:paraId="3E224F40" w14:textId="77777777" w:rsidR="00C708B8" w:rsidRPr="009A2D67" w:rsidRDefault="00C708B8" w:rsidP="00C708B8">
      <w:pPr>
        <w:spacing w:line="340" w:lineRule="exact"/>
        <w:jc w:val="center"/>
        <w:rPr>
          <w:rFonts w:ascii="Times New Roman" w:hAnsi="Times New Roman"/>
          <w:b/>
          <w:sz w:val="24"/>
        </w:rPr>
      </w:pPr>
      <w:r w:rsidRPr="009A2D67">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9A2D67" w14:paraId="72FE0278" w14:textId="77777777" w:rsidTr="00377D1C">
        <w:trPr>
          <w:jc w:val="center"/>
        </w:trPr>
        <w:tc>
          <w:tcPr>
            <w:tcW w:w="567" w:type="dxa"/>
          </w:tcPr>
          <w:p w14:paraId="45471F25"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už</w:t>
            </w:r>
          </w:p>
        </w:tc>
        <w:tc>
          <w:tcPr>
            <w:tcW w:w="992" w:type="dxa"/>
            <w:tcBorders>
              <w:bottom w:val="single" w:sz="4" w:space="0" w:color="auto"/>
            </w:tcBorders>
          </w:tcPr>
          <w:p w14:paraId="5482A090" w14:textId="77777777" w:rsidR="00C708B8" w:rsidRPr="009A2D67" w:rsidRDefault="00C708B8" w:rsidP="00377D1C">
            <w:pPr>
              <w:spacing w:line="340" w:lineRule="exact"/>
              <w:rPr>
                <w:rFonts w:ascii="Times New Roman" w:hAnsi="Times New Roman"/>
                <w:b/>
                <w:sz w:val="24"/>
              </w:rPr>
            </w:pPr>
          </w:p>
        </w:tc>
        <w:tc>
          <w:tcPr>
            <w:tcW w:w="567" w:type="dxa"/>
          </w:tcPr>
          <w:p w14:paraId="32569126"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w:t>
            </w:r>
          </w:p>
        </w:tc>
        <w:tc>
          <w:tcPr>
            <w:tcW w:w="1985" w:type="dxa"/>
            <w:tcBorders>
              <w:bottom w:val="single" w:sz="4" w:space="0" w:color="auto"/>
            </w:tcBorders>
          </w:tcPr>
          <w:p w14:paraId="3E0B3AAB" w14:textId="77777777" w:rsidR="00C708B8" w:rsidRPr="009A2D67" w:rsidRDefault="00C708B8" w:rsidP="00377D1C">
            <w:pPr>
              <w:spacing w:line="340" w:lineRule="exact"/>
              <w:rPr>
                <w:rFonts w:ascii="Times New Roman" w:hAnsi="Times New Roman"/>
                <w:b/>
                <w:sz w:val="24"/>
              </w:rPr>
            </w:pPr>
          </w:p>
        </w:tc>
        <w:tc>
          <w:tcPr>
            <w:tcW w:w="850" w:type="dxa"/>
          </w:tcPr>
          <w:p w14:paraId="4FD6801F"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mėn.</w:t>
            </w:r>
          </w:p>
        </w:tc>
      </w:tr>
    </w:tbl>
    <w:p w14:paraId="15B1B44D" w14:textId="77777777" w:rsidR="00C708B8" w:rsidRPr="009A2D67"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708B8" w:rsidRPr="009A2D67" w14:paraId="2C214E6C" w14:textId="77777777" w:rsidTr="00377D1C">
        <w:trPr>
          <w:trHeight w:val="288"/>
        </w:trPr>
        <w:tc>
          <w:tcPr>
            <w:tcW w:w="2088" w:type="dxa"/>
          </w:tcPr>
          <w:p w14:paraId="5D5EA771" w14:textId="77777777" w:rsidR="00C708B8" w:rsidRPr="009A2D67" w:rsidRDefault="00C708B8" w:rsidP="00377D1C">
            <w:pPr>
              <w:spacing w:line="340" w:lineRule="exact"/>
              <w:rPr>
                <w:rFonts w:ascii="Times New Roman" w:hAnsi="Times New Roman"/>
              </w:rPr>
            </w:pPr>
            <w:bookmarkStart w:id="123" w:name="_Hlk63156748"/>
            <w:r w:rsidRPr="009A2D67">
              <w:rPr>
                <w:rFonts w:ascii="Times New Roman" w:hAnsi="Times New Roman"/>
              </w:rPr>
              <w:t xml:space="preserve">Užsakovas </w:t>
            </w:r>
          </w:p>
        </w:tc>
        <w:tc>
          <w:tcPr>
            <w:tcW w:w="12776" w:type="dxa"/>
            <w:gridSpan w:val="2"/>
          </w:tcPr>
          <w:p w14:paraId="134A801B" w14:textId="77777777" w:rsidR="00C708B8" w:rsidRPr="009A2D67" w:rsidRDefault="00C708B8" w:rsidP="00377D1C">
            <w:pPr>
              <w:spacing w:line="340" w:lineRule="exact"/>
              <w:rPr>
                <w:rFonts w:ascii="Times New Roman" w:hAnsi="Times New Roman"/>
              </w:rPr>
            </w:pPr>
          </w:p>
        </w:tc>
      </w:tr>
      <w:bookmarkEnd w:id="123"/>
      <w:tr w:rsidR="00C708B8" w:rsidRPr="009A2D67" w14:paraId="5BA6C8FC" w14:textId="77777777" w:rsidTr="00377D1C">
        <w:trPr>
          <w:trHeight w:val="276"/>
        </w:trPr>
        <w:tc>
          <w:tcPr>
            <w:tcW w:w="2088" w:type="dxa"/>
          </w:tcPr>
          <w:p w14:paraId="14CA4B12" w14:textId="77777777" w:rsidR="00C708B8" w:rsidRPr="009A2D67" w:rsidRDefault="00C708B8" w:rsidP="00377D1C">
            <w:pPr>
              <w:spacing w:line="340" w:lineRule="exact"/>
              <w:rPr>
                <w:rFonts w:ascii="Times New Roman" w:hAnsi="Times New Roman"/>
              </w:rPr>
            </w:pPr>
            <w:r w:rsidRPr="009A2D67">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9A2D67" w:rsidRDefault="00C708B8" w:rsidP="00377D1C">
            <w:pPr>
              <w:spacing w:line="340" w:lineRule="exact"/>
              <w:rPr>
                <w:rFonts w:ascii="Times New Roman" w:hAnsi="Times New Roman"/>
              </w:rPr>
            </w:pPr>
            <w:r w:rsidRPr="009A2D67">
              <w:rPr>
                <w:rFonts w:ascii="Times New Roman" w:hAnsi="Times New Roman"/>
              </w:rPr>
              <w:fldChar w:fldCharType="begin"/>
            </w:r>
            <w:r w:rsidRPr="009A2D67">
              <w:rPr>
                <w:rFonts w:ascii="Times New Roman" w:hAnsi="Times New Roman"/>
              </w:rPr>
              <w:instrText xml:space="preserve"> MERGEFIELD Pavadinimas </w:instrText>
            </w:r>
            <w:r w:rsidRPr="009A2D67">
              <w:rPr>
                <w:rFonts w:ascii="Times New Roman" w:hAnsi="Times New Roman"/>
              </w:rPr>
              <w:fldChar w:fldCharType="end"/>
            </w:r>
            <w:r w:rsidRPr="009A2D67">
              <w:rPr>
                <w:rFonts w:ascii="Times New Roman" w:hAnsi="Times New Roman"/>
              </w:rPr>
              <w:fldChar w:fldCharType="begin"/>
            </w:r>
            <w:r w:rsidRPr="009A2D67">
              <w:rPr>
                <w:rFonts w:ascii="Times New Roman" w:hAnsi="Times New Roman"/>
              </w:rPr>
              <w:instrText xml:space="preserve"> MERGEFIELD Adresas </w:instrText>
            </w:r>
            <w:r w:rsidRPr="009A2D67">
              <w:rPr>
                <w:rFonts w:ascii="Times New Roman" w:hAnsi="Times New Roman"/>
              </w:rPr>
              <w:fldChar w:fldCharType="end"/>
            </w:r>
          </w:p>
        </w:tc>
      </w:tr>
      <w:tr w:rsidR="00C708B8" w:rsidRPr="009A2D67" w14:paraId="29CA2594" w14:textId="77777777" w:rsidTr="00377D1C">
        <w:trPr>
          <w:trHeight w:val="276"/>
        </w:trPr>
        <w:tc>
          <w:tcPr>
            <w:tcW w:w="2088" w:type="dxa"/>
          </w:tcPr>
          <w:p w14:paraId="287948D6" w14:textId="77777777" w:rsidR="00C708B8" w:rsidRPr="009A2D67" w:rsidRDefault="00C708B8" w:rsidP="00377D1C">
            <w:pPr>
              <w:spacing w:line="340" w:lineRule="exact"/>
              <w:rPr>
                <w:rFonts w:ascii="Times New Roman" w:hAnsi="Times New Roman"/>
              </w:rPr>
            </w:pPr>
            <w:r w:rsidRPr="009A2D67">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9A2D67" w:rsidRDefault="00C708B8" w:rsidP="00377D1C">
            <w:pPr>
              <w:spacing w:line="340" w:lineRule="exact"/>
              <w:rPr>
                <w:rFonts w:ascii="Times New Roman" w:hAnsi="Times New Roman"/>
              </w:rPr>
            </w:pPr>
          </w:p>
        </w:tc>
      </w:tr>
      <w:tr w:rsidR="00C708B8" w:rsidRPr="009A2D67" w14:paraId="333FEB5B" w14:textId="77777777" w:rsidTr="00377D1C">
        <w:trPr>
          <w:trHeight w:val="440"/>
        </w:trPr>
        <w:tc>
          <w:tcPr>
            <w:tcW w:w="4536" w:type="dxa"/>
            <w:gridSpan w:val="2"/>
            <w:tcBorders>
              <w:bottom w:val="single" w:sz="4" w:space="0" w:color="auto"/>
            </w:tcBorders>
          </w:tcPr>
          <w:p w14:paraId="4B1057DC" w14:textId="77777777" w:rsidR="00C708B8" w:rsidRPr="009A2D67" w:rsidRDefault="00C708B8" w:rsidP="00377D1C">
            <w:pPr>
              <w:spacing w:line="340" w:lineRule="exact"/>
              <w:rPr>
                <w:rFonts w:ascii="Times New Roman" w:hAnsi="Times New Roman"/>
              </w:rPr>
            </w:pPr>
            <w:r w:rsidRPr="009A2D67">
              <w:rPr>
                <w:rFonts w:ascii="Times New Roman" w:hAnsi="Times New Roman"/>
              </w:rPr>
              <w:t>Objekto pavadinimas</w:t>
            </w:r>
          </w:p>
        </w:tc>
        <w:tc>
          <w:tcPr>
            <w:tcW w:w="10328" w:type="dxa"/>
            <w:tcBorders>
              <w:bottom w:val="single" w:sz="4" w:space="0" w:color="auto"/>
            </w:tcBorders>
          </w:tcPr>
          <w:p w14:paraId="4D077C7F" w14:textId="77777777" w:rsidR="00C708B8" w:rsidRPr="009A2D67" w:rsidRDefault="00C708B8" w:rsidP="00377D1C">
            <w:pPr>
              <w:spacing w:line="340" w:lineRule="exact"/>
              <w:jc w:val="right"/>
              <w:rPr>
                <w:rFonts w:ascii="Times New Roman" w:hAnsi="Times New Roman"/>
              </w:rPr>
            </w:pPr>
          </w:p>
        </w:tc>
      </w:tr>
      <w:tr w:rsidR="00C708B8" w:rsidRPr="009A2D67" w14:paraId="31F73A63" w14:textId="77777777" w:rsidTr="00377D1C">
        <w:trPr>
          <w:trHeight w:val="374"/>
        </w:trPr>
        <w:tc>
          <w:tcPr>
            <w:tcW w:w="4536" w:type="dxa"/>
            <w:gridSpan w:val="2"/>
            <w:tcBorders>
              <w:top w:val="single" w:sz="4" w:space="0" w:color="auto"/>
            </w:tcBorders>
          </w:tcPr>
          <w:p w14:paraId="3634C605" w14:textId="77777777" w:rsidR="00C708B8" w:rsidRPr="009A2D67" w:rsidRDefault="00C708B8" w:rsidP="00377D1C">
            <w:pPr>
              <w:spacing w:line="340" w:lineRule="exact"/>
              <w:ind w:right="-675"/>
              <w:rPr>
                <w:rFonts w:ascii="Times New Roman" w:hAnsi="Times New Roman"/>
              </w:rPr>
            </w:pPr>
            <w:r w:rsidRPr="009A2D67">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9A2D67" w:rsidRDefault="00C708B8" w:rsidP="00377D1C">
            <w:pPr>
              <w:spacing w:line="340" w:lineRule="exact"/>
              <w:rPr>
                <w:rFonts w:ascii="Times New Roman" w:hAnsi="Times New Roman"/>
              </w:rPr>
            </w:pPr>
          </w:p>
        </w:tc>
      </w:tr>
    </w:tbl>
    <w:p w14:paraId="7487BBE2" w14:textId="77777777" w:rsidR="00C708B8" w:rsidRPr="009A2D67" w:rsidRDefault="00C708B8" w:rsidP="00C708B8">
      <w:pPr>
        <w:rPr>
          <w:rFonts w:ascii="Times New Roman" w:hAnsi="Times New Roman"/>
          <w:sz w:val="16"/>
          <w:szCs w:val="16"/>
        </w:rPr>
      </w:pPr>
    </w:p>
    <w:p w14:paraId="163FB7BA" w14:textId="77777777" w:rsidR="00C708B8" w:rsidRPr="009A2D67" w:rsidRDefault="00C708B8" w:rsidP="00C708B8">
      <w:pPr>
        <w:rPr>
          <w:rFonts w:ascii="Times New Roman" w:hAnsi="Times New Roman"/>
          <w:sz w:val="16"/>
          <w:szCs w:val="16"/>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61"/>
        <w:gridCol w:w="1182"/>
        <w:gridCol w:w="303"/>
        <w:gridCol w:w="805"/>
        <w:gridCol w:w="985"/>
        <w:gridCol w:w="980"/>
        <w:gridCol w:w="188"/>
        <w:gridCol w:w="1016"/>
        <w:gridCol w:w="1310"/>
        <w:gridCol w:w="87"/>
        <w:gridCol w:w="389"/>
        <w:gridCol w:w="800"/>
        <w:gridCol w:w="84"/>
        <w:gridCol w:w="915"/>
        <w:gridCol w:w="1269"/>
        <w:gridCol w:w="2268"/>
      </w:tblGrid>
      <w:tr w:rsidR="00C708B8" w:rsidRPr="009A2D67" w14:paraId="51718B49" w14:textId="77777777" w:rsidTr="00397E48">
        <w:trPr>
          <w:cantSplit/>
          <w:trHeight w:val="290"/>
        </w:trPr>
        <w:tc>
          <w:tcPr>
            <w:tcW w:w="2161" w:type="dxa"/>
            <w:vMerge w:val="restart"/>
            <w:vAlign w:val="center"/>
          </w:tcPr>
          <w:p w14:paraId="25782055" w14:textId="77777777" w:rsidR="00C708B8" w:rsidRPr="009A2D67" w:rsidRDefault="00C708B8" w:rsidP="00377D1C">
            <w:pPr>
              <w:jc w:val="center"/>
              <w:rPr>
                <w:rFonts w:ascii="Times New Roman" w:hAnsi="Times New Roman"/>
              </w:rPr>
            </w:pPr>
            <w:r w:rsidRPr="009A2D67">
              <w:rPr>
                <w:rFonts w:ascii="Times New Roman" w:hAnsi="Times New Roman"/>
              </w:rPr>
              <w:t>Objekto pavadinimas</w:t>
            </w:r>
          </w:p>
        </w:tc>
        <w:tc>
          <w:tcPr>
            <w:tcW w:w="1182" w:type="dxa"/>
            <w:vMerge w:val="restart"/>
            <w:vAlign w:val="center"/>
          </w:tcPr>
          <w:p w14:paraId="0C7D147B" w14:textId="77777777" w:rsidR="00C708B8" w:rsidRPr="009A2D67" w:rsidRDefault="00C708B8" w:rsidP="00377D1C">
            <w:pPr>
              <w:jc w:val="center"/>
              <w:rPr>
                <w:rFonts w:ascii="Times New Roman" w:hAnsi="Times New Roman"/>
              </w:rPr>
            </w:pPr>
            <w:r w:rsidRPr="009A2D67">
              <w:rPr>
                <w:rFonts w:ascii="Times New Roman" w:hAnsi="Times New Roman"/>
              </w:rPr>
              <w:t>Sutartinė kaina</w:t>
            </w:r>
          </w:p>
        </w:tc>
        <w:tc>
          <w:tcPr>
            <w:tcW w:w="1108" w:type="dxa"/>
            <w:gridSpan w:val="2"/>
            <w:vMerge w:val="restart"/>
            <w:vAlign w:val="center"/>
          </w:tcPr>
          <w:p w14:paraId="35875D9E" w14:textId="77777777" w:rsidR="00C708B8" w:rsidRPr="009A2D67" w:rsidRDefault="00C708B8" w:rsidP="00377D1C">
            <w:pPr>
              <w:jc w:val="center"/>
              <w:rPr>
                <w:rFonts w:ascii="Times New Roman" w:hAnsi="Times New Roman"/>
              </w:rPr>
            </w:pPr>
            <w:r w:rsidRPr="009A2D67">
              <w:rPr>
                <w:rFonts w:ascii="Times New Roman" w:hAnsi="Times New Roman"/>
              </w:rPr>
              <w:t>Nuo darbų pradžios</w:t>
            </w:r>
          </w:p>
        </w:tc>
        <w:tc>
          <w:tcPr>
            <w:tcW w:w="985" w:type="dxa"/>
            <w:vMerge w:val="restart"/>
            <w:vAlign w:val="center"/>
          </w:tcPr>
          <w:p w14:paraId="251F5350" w14:textId="77777777" w:rsidR="00C708B8" w:rsidRPr="009A2D67" w:rsidRDefault="00C708B8" w:rsidP="00377D1C">
            <w:pPr>
              <w:jc w:val="center"/>
              <w:rPr>
                <w:rFonts w:ascii="Times New Roman" w:hAnsi="Times New Roman"/>
              </w:rPr>
            </w:pPr>
            <w:r w:rsidRPr="009A2D67">
              <w:rPr>
                <w:rFonts w:ascii="Times New Roman" w:hAnsi="Times New Roman"/>
              </w:rPr>
              <w:t>Nuo metų pradžios</w:t>
            </w:r>
          </w:p>
        </w:tc>
        <w:tc>
          <w:tcPr>
            <w:tcW w:w="9306" w:type="dxa"/>
            <w:gridSpan w:val="11"/>
            <w:vAlign w:val="center"/>
          </w:tcPr>
          <w:p w14:paraId="3DCBE088" w14:textId="77777777" w:rsidR="00C708B8" w:rsidRPr="009A2D67" w:rsidRDefault="00C708B8" w:rsidP="00377D1C">
            <w:pPr>
              <w:jc w:val="center"/>
              <w:rPr>
                <w:rFonts w:ascii="Times New Roman" w:hAnsi="Times New Roman"/>
              </w:rPr>
            </w:pPr>
            <w:r w:rsidRPr="009A2D67">
              <w:rPr>
                <w:rFonts w:ascii="Times New Roman" w:hAnsi="Times New Roman"/>
              </w:rPr>
              <w:t>Įvykdytų darbų vertė per ataskaitinį laikotarpį Eur</w:t>
            </w:r>
          </w:p>
        </w:tc>
      </w:tr>
      <w:tr w:rsidR="00397E48" w:rsidRPr="009A2D67" w14:paraId="54600C37" w14:textId="77777777" w:rsidTr="00397E48">
        <w:trPr>
          <w:cantSplit/>
          <w:trHeight w:val="1240"/>
        </w:trPr>
        <w:tc>
          <w:tcPr>
            <w:tcW w:w="2161" w:type="dxa"/>
            <w:vMerge/>
            <w:vAlign w:val="center"/>
          </w:tcPr>
          <w:p w14:paraId="0BF94D1C" w14:textId="77777777" w:rsidR="00397E48" w:rsidRPr="009A2D67" w:rsidRDefault="00397E48" w:rsidP="00377D1C">
            <w:pPr>
              <w:jc w:val="center"/>
              <w:rPr>
                <w:rFonts w:ascii="Times New Roman" w:hAnsi="Times New Roman"/>
              </w:rPr>
            </w:pPr>
          </w:p>
        </w:tc>
        <w:tc>
          <w:tcPr>
            <w:tcW w:w="1182" w:type="dxa"/>
            <w:vMerge/>
            <w:vAlign w:val="center"/>
          </w:tcPr>
          <w:p w14:paraId="760FD9A0" w14:textId="77777777" w:rsidR="00397E48" w:rsidRPr="009A2D67" w:rsidRDefault="00397E48" w:rsidP="00377D1C">
            <w:pPr>
              <w:jc w:val="center"/>
              <w:rPr>
                <w:rFonts w:ascii="Times New Roman" w:hAnsi="Times New Roman"/>
              </w:rPr>
            </w:pPr>
          </w:p>
        </w:tc>
        <w:tc>
          <w:tcPr>
            <w:tcW w:w="1108" w:type="dxa"/>
            <w:gridSpan w:val="2"/>
            <w:vMerge/>
            <w:vAlign w:val="center"/>
          </w:tcPr>
          <w:p w14:paraId="591CC0A4" w14:textId="77777777" w:rsidR="00397E48" w:rsidRPr="009A2D67" w:rsidRDefault="00397E48" w:rsidP="00377D1C">
            <w:pPr>
              <w:jc w:val="center"/>
              <w:rPr>
                <w:rFonts w:ascii="Times New Roman" w:hAnsi="Times New Roman"/>
              </w:rPr>
            </w:pPr>
          </w:p>
        </w:tc>
        <w:tc>
          <w:tcPr>
            <w:tcW w:w="985" w:type="dxa"/>
            <w:vMerge/>
            <w:vAlign w:val="center"/>
          </w:tcPr>
          <w:p w14:paraId="3F17349C" w14:textId="77777777" w:rsidR="00397E48" w:rsidRPr="009A2D67" w:rsidRDefault="00397E48" w:rsidP="00377D1C">
            <w:pPr>
              <w:jc w:val="center"/>
              <w:rPr>
                <w:rFonts w:ascii="Times New Roman" w:hAnsi="Times New Roman"/>
              </w:rPr>
            </w:pPr>
          </w:p>
        </w:tc>
        <w:tc>
          <w:tcPr>
            <w:tcW w:w="980" w:type="dxa"/>
            <w:vAlign w:val="center"/>
          </w:tcPr>
          <w:p w14:paraId="784A2720" w14:textId="77777777" w:rsidR="00397E48" w:rsidRPr="009A2D67" w:rsidRDefault="00397E48" w:rsidP="00377D1C">
            <w:pPr>
              <w:jc w:val="center"/>
              <w:rPr>
                <w:rFonts w:ascii="Times New Roman" w:hAnsi="Times New Roman"/>
              </w:rPr>
            </w:pPr>
            <w:r w:rsidRPr="009A2D67">
              <w:rPr>
                <w:rFonts w:ascii="Times New Roman" w:hAnsi="Times New Roman"/>
              </w:rPr>
              <w:t>Įvykdytų darbų vertė</w:t>
            </w:r>
          </w:p>
        </w:tc>
        <w:tc>
          <w:tcPr>
            <w:tcW w:w="1204" w:type="dxa"/>
            <w:gridSpan w:val="2"/>
            <w:vAlign w:val="center"/>
          </w:tcPr>
          <w:p w14:paraId="4FCBEA63" w14:textId="77777777" w:rsidR="00397E48" w:rsidRPr="009A2D67" w:rsidRDefault="00397E48" w:rsidP="00377D1C">
            <w:pPr>
              <w:jc w:val="center"/>
              <w:rPr>
                <w:rFonts w:ascii="Times New Roman" w:hAnsi="Times New Roman"/>
              </w:rPr>
            </w:pPr>
            <w:r w:rsidRPr="009A2D67">
              <w:rPr>
                <w:rFonts w:ascii="Times New Roman" w:hAnsi="Times New Roman"/>
              </w:rPr>
              <w:t>Įrenginiai ir inventorius</w:t>
            </w:r>
          </w:p>
        </w:tc>
        <w:tc>
          <w:tcPr>
            <w:tcW w:w="1310" w:type="dxa"/>
            <w:vAlign w:val="center"/>
          </w:tcPr>
          <w:p w14:paraId="5CEBCA3B" w14:textId="77777777" w:rsidR="00397E48" w:rsidRPr="009A2D67" w:rsidRDefault="00397E48" w:rsidP="00377D1C">
            <w:pPr>
              <w:jc w:val="center"/>
              <w:rPr>
                <w:rFonts w:ascii="Times New Roman" w:hAnsi="Times New Roman"/>
              </w:rPr>
            </w:pPr>
            <w:r w:rsidRPr="009A2D67">
              <w:rPr>
                <w:rFonts w:ascii="Times New Roman" w:hAnsi="Times New Roman"/>
              </w:rPr>
              <w:t>Darbų vertė su įrenginiais</w:t>
            </w:r>
          </w:p>
        </w:tc>
        <w:tc>
          <w:tcPr>
            <w:tcW w:w="1276" w:type="dxa"/>
            <w:gridSpan w:val="3"/>
            <w:vAlign w:val="center"/>
          </w:tcPr>
          <w:p w14:paraId="5CBA1359" w14:textId="77777777" w:rsidR="00397E48" w:rsidRPr="009A2D67" w:rsidRDefault="00397E48" w:rsidP="00377D1C">
            <w:pPr>
              <w:jc w:val="center"/>
              <w:rPr>
                <w:rFonts w:ascii="Times New Roman" w:hAnsi="Times New Roman"/>
              </w:rPr>
            </w:pPr>
            <w:r w:rsidRPr="009A2D67">
              <w:rPr>
                <w:rFonts w:ascii="Times New Roman" w:hAnsi="Times New Roman"/>
              </w:rPr>
              <w:t>Kitos išlaidos</w:t>
            </w:r>
          </w:p>
        </w:tc>
        <w:tc>
          <w:tcPr>
            <w:tcW w:w="2268" w:type="dxa"/>
            <w:gridSpan w:val="3"/>
            <w:vAlign w:val="center"/>
          </w:tcPr>
          <w:p w14:paraId="698515F8" w14:textId="77777777" w:rsidR="00397E48" w:rsidRPr="009A2D67" w:rsidRDefault="00397E48" w:rsidP="00377D1C">
            <w:pPr>
              <w:jc w:val="center"/>
              <w:rPr>
                <w:rFonts w:ascii="Times New Roman" w:hAnsi="Times New Roman"/>
              </w:rPr>
            </w:pPr>
            <w:r w:rsidRPr="009A2D67">
              <w:rPr>
                <w:rFonts w:ascii="Times New Roman" w:hAnsi="Times New Roman"/>
              </w:rPr>
              <w:t>t. sk. finansuojama iš Kultūros infrastuktūros centrui skirtų biudžeto lėšų (... proc.)</w:t>
            </w:r>
          </w:p>
        </w:tc>
        <w:tc>
          <w:tcPr>
            <w:tcW w:w="2268" w:type="dxa"/>
            <w:vAlign w:val="center"/>
          </w:tcPr>
          <w:p w14:paraId="31A8C6BA" w14:textId="77777777" w:rsidR="00397E48" w:rsidRPr="009A2D67" w:rsidRDefault="00397E48" w:rsidP="00377D1C">
            <w:pPr>
              <w:jc w:val="center"/>
              <w:rPr>
                <w:rFonts w:ascii="Times New Roman" w:hAnsi="Times New Roman"/>
              </w:rPr>
            </w:pPr>
            <w:r w:rsidRPr="009A2D67">
              <w:rPr>
                <w:rFonts w:ascii="Times New Roman" w:hAnsi="Times New Roman"/>
              </w:rPr>
              <w:t>finansuojama iš objekto valdytojo (statytojo) lėšų (... proc.)</w:t>
            </w:r>
          </w:p>
        </w:tc>
      </w:tr>
      <w:tr w:rsidR="00397E48" w:rsidRPr="009A2D67" w14:paraId="709E1103" w14:textId="77777777" w:rsidTr="00397E48">
        <w:trPr>
          <w:cantSplit/>
          <w:trHeight w:val="159"/>
        </w:trPr>
        <w:tc>
          <w:tcPr>
            <w:tcW w:w="2161" w:type="dxa"/>
          </w:tcPr>
          <w:p w14:paraId="03C177B8" w14:textId="77777777" w:rsidR="00397E48" w:rsidRPr="009A2D67" w:rsidRDefault="00397E48" w:rsidP="00377D1C">
            <w:pPr>
              <w:jc w:val="center"/>
              <w:rPr>
                <w:rFonts w:ascii="Times New Roman" w:hAnsi="Times New Roman"/>
              </w:rPr>
            </w:pPr>
            <w:r w:rsidRPr="009A2D67">
              <w:rPr>
                <w:rFonts w:ascii="Times New Roman" w:hAnsi="Times New Roman"/>
              </w:rPr>
              <w:t>1</w:t>
            </w:r>
          </w:p>
        </w:tc>
        <w:tc>
          <w:tcPr>
            <w:tcW w:w="1182" w:type="dxa"/>
          </w:tcPr>
          <w:p w14:paraId="301A8A3D" w14:textId="77777777" w:rsidR="00397E48" w:rsidRPr="009A2D67" w:rsidRDefault="00397E48" w:rsidP="00377D1C">
            <w:pPr>
              <w:jc w:val="center"/>
              <w:rPr>
                <w:rFonts w:ascii="Times New Roman" w:hAnsi="Times New Roman"/>
              </w:rPr>
            </w:pPr>
            <w:r w:rsidRPr="009A2D67">
              <w:rPr>
                <w:rFonts w:ascii="Times New Roman" w:hAnsi="Times New Roman"/>
              </w:rPr>
              <w:t>2</w:t>
            </w:r>
          </w:p>
        </w:tc>
        <w:tc>
          <w:tcPr>
            <w:tcW w:w="1108" w:type="dxa"/>
            <w:gridSpan w:val="2"/>
            <w:vAlign w:val="center"/>
          </w:tcPr>
          <w:p w14:paraId="05360913" w14:textId="77777777" w:rsidR="00397E48" w:rsidRPr="009A2D67" w:rsidRDefault="00397E48" w:rsidP="00377D1C">
            <w:pPr>
              <w:jc w:val="center"/>
              <w:rPr>
                <w:rFonts w:ascii="Times New Roman" w:hAnsi="Times New Roman"/>
              </w:rPr>
            </w:pPr>
            <w:r w:rsidRPr="009A2D67">
              <w:rPr>
                <w:rFonts w:ascii="Times New Roman" w:hAnsi="Times New Roman"/>
              </w:rPr>
              <w:t>3</w:t>
            </w:r>
          </w:p>
        </w:tc>
        <w:tc>
          <w:tcPr>
            <w:tcW w:w="985" w:type="dxa"/>
            <w:vAlign w:val="center"/>
          </w:tcPr>
          <w:p w14:paraId="0506D940" w14:textId="77777777" w:rsidR="00397E48" w:rsidRPr="009A2D67" w:rsidRDefault="00397E48" w:rsidP="00377D1C">
            <w:pPr>
              <w:jc w:val="center"/>
              <w:rPr>
                <w:rFonts w:ascii="Times New Roman" w:hAnsi="Times New Roman"/>
              </w:rPr>
            </w:pPr>
            <w:r w:rsidRPr="009A2D67">
              <w:rPr>
                <w:rFonts w:ascii="Times New Roman" w:hAnsi="Times New Roman"/>
              </w:rPr>
              <w:t>4</w:t>
            </w:r>
          </w:p>
        </w:tc>
        <w:tc>
          <w:tcPr>
            <w:tcW w:w="980" w:type="dxa"/>
            <w:vAlign w:val="center"/>
          </w:tcPr>
          <w:p w14:paraId="72C91A54" w14:textId="77777777" w:rsidR="00397E48" w:rsidRPr="009A2D67" w:rsidRDefault="00397E48" w:rsidP="00377D1C">
            <w:pPr>
              <w:jc w:val="center"/>
              <w:rPr>
                <w:rFonts w:ascii="Times New Roman" w:hAnsi="Times New Roman"/>
              </w:rPr>
            </w:pPr>
            <w:r w:rsidRPr="009A2D67">
              <w:rPr>
                <w:rFonts w:ascii="Times New Roman" w:hAnsi="Times New Roman"/>
              </w:rPr>
              <w:t>5</w:t>
            </w:r>
          </w:p>
        </w:tc>
        <w:tc>
          <w:tcPr>
            <w:tcW w:w="1204" w:type="dxa"/>
            <w:gridSpan w:val="2"/>
            <w:vAlign w:val="center"/>
          </w:tcPr>
          <w:p w14:paraId="2803FD8E" w14:textId="77777777" w:rsidR="00397E48" w:rsidRPr="009A2D67" w:rsidRDefault="00397E48" w:rsidP="00377D1C">
            <w:pPr>
              <w:jc w:val="center"/>
              <w:rPr>
                <w:rFonts w:ascii="Times New Roman" w:hAnsi="Times New Roman"/>
              </w:rPr>
            </w:pPr>
            <w:r w:rsidRPr="009A2D67">
              <w:rPr>
                <w:rFonts w:ascii="Times New Roman" w:hAnsi="Times New Roman"/>
              </w:rPr>
              <w:t>6</w:t>
            </w:r>
          </w:p>
        </w:tc>
        <w:tc>
          <w:tcPr>
            <w:tcW w:w="1310" w:type="dxa"/>
            <w:vAlign w:val="center"/>
          </w:tcPr>
          <w:p w14:paraId="3C22FFF0" w14:textId="77777777" w:rsidR="00397E48" w:rsidRPr="009A2D67" w:rsidRDefault="00397E48" w:rsidP="00377D1C">
            <w:pPr>
              <w:jc w:val="center"/>
              <w:rPr>
                <w:rFonts w:ascii="Times New Roman" w:hAnsi="Times New Roman"/>
              </w:rPr>
            </w:pPr>
            <w:r w:rsidRPr="009A2D67">
              <w:rPr>
                <w:rFonts w:ascii="Times New Roman" w:hAnsi="Times New Roman"/>
              </w:rPr>
              <w:t>7</w:t>
            </w:r>
          </w:p>
        </w:tc>
        <w:tc>
          <w:tcPr>
            <w:tcW w:w="1276" w:type="dxa"/>
            <w:gridSpan w:val="3"/>
            <w:vAlign w:val="center"/>
          </w:tcPr>
          <w:p w14:paraId="25C15B61" w14:textId="77777777" w:rsidR="00397E48" w:rsidRPr="009A2D67" w:rsidRDefault="00397E48" w:rsidP="00377D1C">
            <w:pPr>
              <w:jc w:val="center"/>
              <w:rPr>
                <w:rFonts w:ascii="Times New Roman" w:hAnsi="Times New Roman"/>
              </w:rPr>
            </w:pPr>
            <w:r w:rsidRPr="009A2D67">
              <w:rPr>
                <w:rFonts w:ascii="Times New Roman" w:hAnsi="Times New Roman"/>
              </w:rPr>
              <w:t>8</w:t>
            </w:r>
          </w:p>
        </w:tc>
        <w:tc>
          <w:tcPr>
            <w:tcW w:w="2268" w:type="dxa"/>
            <w:gridSpan w:val="3"/>
            <w:vAlign w:val="center"/>
          </w:tcPr>
          <w:p w14:paraId="05DB4CC4" w14:textId="77777777" w:rsidR="00397E48" w:rsidRPr="009A2D67" w:rsidRDefault="00397E48" w:rsidP="00377D1C">
            <w:pPr>
              <w:jc w:val="center"/>
              <w:rPr>
                <w:rFonts w:ascii="Times New Roman" w:hAnsi="Times New Roman"/>
              </w:rPr>
            </w:pPr>
            <w:r w:rsidRPr="009A2D67">
              <w:rPr>
                <w:rFonts w:ascii="Times New Roman" w:hAnsi="Times New Roman"/>
              </w:rPr>
              <w:t>9</w:t>
            </w:r>
          </w:p>
        </w:tc>
        <w:tc>
          <w:tcPr>
            <w:tcW w:w="2268" w:type="dxa"/>
          </w:tcPr>
          <w:p w14:paraId="491CBB57" w14:textId="77777777" w:rsidR="00397E48" w:rsidRPr="009A2D67" w:rsidRDefault="00397E48" w:rsidP="00377D1C">
            <w:pPr>
              <w:jc w:val="center"/>
              <w:rPr>
                <w:rFonts w:ascii="Times New Roman" w:hAnsi="Times New Roman"/>
              </w:rPr>
            </w:pPr>
            <w:r w:rsidRPr="009A2D67">
              <w:rPr>
                <w:rFonts w:ascii="Times New Roman" w:hAnsi="Times New Roman"/>
              </w:rPr>
              <w:t>10</w:t>
            </w:r>
          </w:p>
        </w:tc>
      </w:tr>
      <w:tr w:rsidR="00397E48" w:rsidRPr="009A2D67" w14:paraId="772A8F56" w14:textId="77777777" w:rsidTr="00397E48">
        <w:trPr>
          <w:cantSplit/>
          <w:trHeight w:val="178"/>
        </w:trPr>
        <w:tc>
          <w:tcPr>
            <w:tcW w:w="2161" w:type="dxa"/>
          </w:tcPr>
          <w:p w14:paraId="7AFF876A" w14:textId="77777777" w:rsidR="00397E48" w:rsidRPr="009A2D67" w:rsidRDefault="00397E48" w:rsidP="00377D1C">
            <w:pPr>
              <w:spacing w:line="340" w:lineRule="exact"/>
              <w:rPr>
                <w:rFonts w:ascii="Times New Roman" w:hAnsi="Times New Roman"/>
                <w:sz w:val="10"/>
                <w:szCs w:val="10"/>
              </w:rPr>
            </w:pPr>
          </w:p>
        </w:tc>
        <w:tc>
          <w:tcPr>
            <w:tcW w:w="1182" w:type="dxa"/>
          </w:tcPr>
          <w:p w14:paraId="37FAD9EE"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2D875302"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3B883B8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745FC483"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902D11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1C1B8691"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67063926"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74CB43CA" w14:textId="77777777" w:rsidR="00397E48" w:rsidRPr="009A2D67" w:rsidRDefault="00397E48" w:rsidP="00377D1C">
            <w:pPr>
              <w:spacing w:line="340" w:lineRule="exact"/>
              <w:jc w:val="right"/>
              <w:rPr>
                <w:rFonts w:ascii="Times New Roman" w:hAnsi="Times New Roman"/>
              </w:rPr>
            </w:pPr>
          </w:p>
        </w:tc>
        <w:tc>
          <w:tcPr>
            <w:tcW w:w="2268" w:type="dxa"/>
          </w:tcPr>
          <w:p w14:paraId="34F4862F" w14:textId="77777777" w:rsidR="00397E48" w:rsidRPr="009A2D67" w:rsidRDefault="00397E48" w:rsidP="00377D1C">
            <w:pPr>
              <w:spacing w:line="340" w:lineRule="exact"/>
              <w:jc w:val="right"/>
              <w:rPr>
                <w:rFonts w:ascii="Times New Roman" w:hAnsi="Times New Roman"/>
              </w:rPr>
            </w:pPr>
          </w:p>
        </w:tc>
      </w:tr>
      <w:tr w:rsidR="00397E48" w:rsidRPr="009A2D67" w14:paraId="67067796" w14:textId="77777777" w:rsidTr="00397E48">
        <w:trPr>
          <w:cantSplit/>
          <w:trHeight w:val="159"/>
        </w:trPr>
        <w:tc>
          <w:tcPr>
            <w:tcW w:w="2161" w:type="dxa"/>
          </w:tcPr>
          <w:p w14:paraId="36C9CDE7" w14:textId="77777777" w:rsidR="00397E48" w:rsidRPr="009A2D67" w:rsidRDefault="00397E48" w:rsidP="00377D1C">
            <w:pPr>
              <w:spacing w:line="340" w:lineRule="exact"/>
              <w:rPr>
                <w:rFonts w:ascii="Times New Roman" w:hAnsi="Times New Roman"/>
              </w:rPr>
            </w:pPr>
            <w:r w:rsidRPr="009A2D67">
              <w:rPr>
                <w:rFonts w:ascii="Times New Roman" w:hAnsi="Times New Roman"/>
              </w:rPr>
              <w:t>Darbų aprašymas</w:t>
            </w:r>
          </w:p>
        </w:tc>
        <w:tc>
          <w:tcPr>
            <w:tcW w:w="1182" w:type="dxa"/>
          </w:tcPr>
          <w:p w14:paraId="76ECF3E7"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7B55CEB7"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5E82E9B"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5750A7FB"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4C49207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C6EB492"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2E1201E2"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03DF0177" w14:textId="77777777" w:rsidR="00397E48" w:rsidRPr="009A2D67" w:rsidRDefault="00397E48" w:rsidP="00377D1C">
            <w:pPr>
              <w:spacing w:line="340" w:lineRule="exact"/>
              <w:jc w:val="right"/>
              <w:rPr>
                <w:rFonts w:ascii="Times New Roman" w:hAnsi="Times New Roman"/>
              </w:rPr>
            </w:pPr>
          </w:p>
        </w:tc>
        <w:tc>
          <w:tcPr>
            <w:tcW w:w="2268" w:type="dxa"/>
          </w:tcPr>
          <w:p w14:paraId="1D47D4DA" w14:textId="77777777" w:rsidR="00397E48" w:rsidRPr="009A2D67" w:rsidRDefault="00397E48" w:rsidP="00377D1C">
            <w:pPr>
              <w:spacing w:line="340" w:lineRule="exact"/>
              <w:jc w:val="right"/>
              <w:rPr>
                <w:rFonts w:ascii="Times New Roman" w:hAnsi="Times New Roman"/>
              </w:rPr>
            </w:pPr>
          </w:p>
        </w:tc>
      </w:tr>
      <w:tr w:rsidR="00397E48" w:rsidRPr="009A2D67" w14:paraId="5CD64005" w14:textId="77777777" w:rsidTr="00397E48">
        <w:trPr>
          <w:cantSplit/>
          <w:trHeight w:val="159"/>
        </w:trPr>
        <w:tc>
          <w:tcPr>
            <w:tcW w:w="2161" w:type="dxa"/>
          </w:tcPr>
          <w:p w14:paraId="7E26A282" w14:textId="77777777" w:rsidR="00397E48" w:rsidRPr="009A2D67" w:rsidRDefault="00397E48" w:rsidP="00377D1C">
            <w:pPr>
              <w:spacing w:line="340" w:lineRule="exact"/>
              <w:rPr>
                <w:rFonts w:ascii="Times New Roman" w:hAnsi="Times New Roman"/>
              </w:rPr>
            </w:pPr>
            <w:r w:rsidRPr="009A2D67">
              <w:rPr>
                <w:rFonts w:ascii="Times New Roman" w:hAnsi="Times New Roman"/>
              </w:rPr>
              <w:t>Suma be PVM</w:t>
            </w:r>
          </w:p>
        </w:tc>
        <w:tc>
          <w:tcPr>
            <w:tcW w:w="1182" w:type="dxa"/>
          </w:tcPr>
          <w:p w14:paraId="2B356072"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39C1BBC6"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584D63E9"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2BFEB85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65F29B26"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736EDD4"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014E9C83"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3FD6ED6F" w14:textId="77777777" w:rsidR="00397E48" w:rsidRPr="009A2D67" w:rsidRDefault="00397E48" w:rsidP="00377D1C">
            <w:pPr>
              <w:spacing w:line="340" w:lineRule="exact"/>
              <w:jc w:val="right"/>
              <w:rPr>
                <w:rFonts w:ascii="Times New Roman" w:hAnsi="Times New Roman"/>
              </w:rPr>
            </w:pPr>
          </w:p>
        </w:tc>
        <w:tc>
          <w:tcPr>
            <w:tcW w:w="2268" w:type="dxa"/>
          </w:tcPr>
          <w:p w14:paraId="335F9CBC" w14:textId="77777777" w:rsidR="00397E48" w:rsidRPr="009A2D67" w:rsidRDefault="00397E48" w:rsidP="00377D1C">
            <w:pPr>
              <w:spacing w:line="340" w:lineRule="exact"/>
              <w:jc w:val="right"/>
              <w:rPr>
                <w:rFonts w:ascii="Times New Roman" w:hAnsi="Times New Roman"/>
              </w:rPr>
            </w:pPr>
          </w:p>
        </w:tc>
      </w:tr>
      <w:tr w:rsidR="00397E48" w:rsidRPr="009A2D67" w14:paraId="44305322" w14:textId="77777777" w:rsidTr="00397E48">
        <w:trPr>
          <w:cantSplit/>
          <w:trHeight w:val="159"/>
        </w:trPr>
        <w:tc>
          <w:tcPr>
            <w:tcW w:w="2161" w:type="dxa"/>
          </w:tcPr>
          <w:p w14:paraId="2262E340" w14:textId="77777777" w:rsidR="00397E48" w:rsidRPr="009A2D67" w:rsidRDefault="00397E48" w:rsidP="00377D1C">
            <w:pPr>
              <w:spacing w:line="340" w:lineRule="exact"/>
              <w:rPr>
                <w:rFonts w:ascii="Times New Roman" w:hAnsi="Times New Roman"/>
              </w:rPr>
            </w:pPr>
            <w:r w:rsidRPr="009A2D67">
              <w:rPr>
                <w:rFonts w:ascii="Times New Roman" w:hAnsi="Times New Roman"/>
              </w:rPr>
              <w:t>PVM 21 (%)</w:t>
            </w:r>
          </w:p>
        </w:tc>
        <w:tc>
          <w:tcPr>
            <w:tcW w:w="1182" w:type="dxa"/>
          </w:tcPr>
          <w:p w14:paraId="46B4C32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1FAF6BCA"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7C6D5D6"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1206481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6084990"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56FADD6C"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710D5657"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27B64D34" w14:textId="77777777" w:rsidR="00397E48" w:rsidRPr="009A2D67" w:rsidRDefault="00397E48" w:rsidP="00377D1C">
            <w:pPr>
              <w:spacing w:line="340" w:lineRule="exact"/>
              <w:jc w:val="right"/>
              <w:rPr>
                <w:rFonts w:ascii="Times New Roman" w:hAnsi="Times New Roman"/>
              </w:rPr>
            </w:pPr>
          </w:p>
        </w:tc>
        <w:tc>
          <w:tcPr>
            <w:tcW w:w="2268" w:type="dxa"/>
          </w:tcPr>
          <w:p w14:paraId="17BC98A3" w14:textId="77777777" w:rsidR="00397E48" w:rsidRPr="009A2D67" w:rsidRDefault="00397E48" w:rsidP="00377D1C">
            <w:pPr>
              <w:spacing w:line="340" w:lineRule="exact"/>
              <w:jc w:val="right"/>
              <w:rPr>
                <w:rFonts w:ascii="Times New Roman" w:hAnsi="Times New Roman"/>
              </w:rPr>
            </w:pPr>
          </w:p>
        </w:tc>
      </w:tr>
      <w:tr w:rsidR="00397E48" w:rsidRPr="009A2D67" w14:paraId="33FF6BA2" w14:textId="77777777" w:rsidTr="00397E48">
        <w:trPr>
          <w:cantSplit/>
          <w:trHeight w:val="159"/>
        </w:trPr>
        <w:tc>
          <w:tcPr>
            <w:tcW w:w="2161" w:type="dxa"/>
          </w:tcPr>
          <w:p w14:paraId="0CF21A78" w14:textId="77777777" w:rsidR="00397E48" w:rsidRPr="009A2D67" w:rsidRDefault="00397E48" w:rsidP="00377D1C">
            <w:pPr>
              <w:spacing w:line="340" w:lineRule="exact"/>
              <w:rPr>
                <w:rFonts w:ascii="Times New Roman" w:hAnsi="Times New Roman"/>
              </w:rPr>
            </w:pPr>
            <w:r w:rsidRPr="009A2D67">
              <w:rPr>
                <w:rFonts w:ascii="Times New Roman" w:hAnsi="Times New Roman"/>
              </w:rPr>
              <w:t>Iš viso:</w:t>
            </w:r>
          </w:p>
        </w:tc>
        <w:tc>
          <w:tcPr>
            <w:tcW w:w="1182" w:type="dxa"/>
          </w:tcPr>
          <w:p w14:paraId="3EEE1C4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4FBF897D"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020A550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616BE3F9"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0315B4C9"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72C527A8"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108F516C"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65334A50" w14:textId="77777777" w:rsidR="00397E48" w:rsidRPr="009A2D67" w:rsidRDefault="00397E48" w:rsidP="00377D1C">
            <w:pPr>
              <w:spacing w:line="340" w:lineRule="exact"/>
              <w:jc w:val="right"/>
              <w:rPr>
                <w:rFonts w:ascii="Times New Roman" w:hAnsi="Times New Roman"/>
              </w:rPr>
            </w:pPr>
          </w:p>
        </w:tc>
        <w:tc>
          <w:tcPr>
            <w:tcW w:w="2268" w:type="dxa"/>
          </w:tcPr>
          <w:p w14:paraId="7BB6D419" w14:textId="77777777" w:rsidR="00397E48" w:rsidRPr="009A2D67" w:rsidRDefault="00397E48" w:rsidP="00377D1C">
            <w:pPr>
              <w:spacing w:line="340" w:lineRule="exact"/>
              <w:jc w:val="right"/>
              <w:rPr>
                <w:rFonts w:ascii="Times New Roman" w:hAnsi="Times New Roman"/>
              </w:rPr>
            </w:pPr>
          </w:p>
        </w:tc>
      </w:tr>
      <w:tr w:rsidR="00C708B8" w:rsidRPr="009A2D67" w14:paraId="460D3DA4" w14:textId="77777777" w:rsidTr="00397E48">
        <w:tblPrEx>
          <w:tblCellMar>
            <w:left w:w="108" w:type="dxa"/>
            <w:right w:w="108" w:type="dxa"/>
          </w:tblCellMar>
        </w:tblPrEx>
        <w:trPr>
          <w:gridBefore w:val="7"/>
          <w:wBefore w:w="6604" w:type="dxa"/>
          <w:trHeight w:val="315"/>
        </w:trPr>
        <w:tc>
          <w:tcPr>
            <w:tcW w:w="2413" w:type="dxa"/>
            <w:gridSpan w:val="3"/>
            <w:tcBorders>
              <w:left w:val="nil"/>
              <w:right w:val="nil"/>
            </w:tcBorders>
          </w:tcPr>
          <w:p w14:paraId="51217475" w14:textId="77777777" w:rsidR="00C708B8" w:rsidRPr="009A2D67"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9A2D67" w:rsidRDefault="00C708B8" w:rsidP="00377D1C">
            <w:pPr>
              <w:spacing w:line="340" w:lineRule="exact"/>
              <w:rPr>
                <w:rFonts w:ascii="Times New Roman" w:hAnsi="Times New Roman"/>
              </w:rPr>
            </w:pPr>
          </w:p>
        </w:tc>
        <w:tc>
          <w:tcPr>
            <w:tcW w:w="4452" w:type="dxa"/>
            <w:gridSpan w:val="3"/>
            <w:tcBorders>
              <w:left w:val="nil"/>
              <w:right w:val="nil"/>
            </w:tcBorders>
          </w:tcPr>
          <w:p w14:paraId="69A04F40" w14:textId="7F964C03" w:rsidR="00C708B8" w:rsidRPr="009A2D67" w:rsidRDefault="00397E48" w:rsidP="00377D1C">
            <w:pPr>
              <w:spacing w:line="340" w:lineRule="exact"/>
              <w:rPr>
                <w:rFonts w:ascii="Times New Roman" w:hAnsi="Times New Roman"/>
              </w:rPr>
            </w:pPr>
            <w:r>
              <w:rPr>
                <w:rFonts w:ascii="Times New Roman" w:hAnsi="Times New Roman"/>
              </w:rPr>
              <w:t xml:space="preserve">                                                              </w:t>
            </w:r>
            <w:r w:rsidR="00C708B8" w:rsidRPr="009A2D67">
              <w:rPr>
                <w:rFonts w:ascii="Times New Roman" w:hAnsi="Times New Roman"/>
              </w:rPr>
              <w:t xml:space="preserve">Eur </w:t>
            </w:r>
          </w:p>
        </w:tc>
      </w:tr>
      <w:tr w:rsidR="00C708B8" w:rsidRPr="009A2D67" w14:paraId="2532E74E" w14:textId="77777777" w:rsidTr="00397E48">
        <w:tblPrEx>
          <w:tblCellMar>
            <w:left w:w="108" w:type="dxa"/>
            <w:right w:w="108" w:type="dxa"/>
          </w:tblCellMar>
        </w:tblPrEx>
        <w:trPr>
          <w:gridBefore w:val="7"/>
          <w:wBefore w:w="6604" w:type="dxa"/>
          <w:trHeight w:val="329"/>
        </w:trPr>
        <w:tc>
          <w:tcPr>
            <w:tcW w:w="3602" w:type="dxa"/>
            <w:gridSpan w:val="5"/>
            <w:tcBorders>
              <w:left w:val="nil"/>
              <w:right w:val="nil"/>
            </w:tcBorders>
          </w:tcPr>
          <w:p w14:paraId="05028BEE" w14:textId="77777777" w:rsidR="00C708B8" w:rsidRPr="009A2D67" w:rsidRDefault="00C708B8" w:rsidP="00377D1C">
            <w:pPr>
              <w:spacing w:line="340" w:lineRule="exact"/>
              <w:rPr>
                <w:rFonts w:ascii="Times New Roman" w:hAnsi="Times New Roman"/>
              </w:rPr>
            </w:pPr>
          </w:p>
        </w:tc>
        <w:tc>
          <w:tcPr>
            <w:tcW w:w="999" w:type="dxa"/>
            <w:gridSpan w:val="2"/>
            <w:tcBorders>
              <w:left w:val="nil"/>
              <w:right w:val="nil"/>
            </w:tcBorders>
          </w:tcPr>
          <w:p w14:paraId="4DBEEAA6" w14:textId="77777777" w:rsidR="00C708B8" w:rsidRPr="009A2D67" w:rsidRDefault="00C708B8" w:rsidP="00377D1C">
            <w:pPr>
              <w:spacing w:line="340" w:lineRule="exact"/>
              <w:rPr>
                <w:rFonts w:ascii="Times New Roman" w:hAnsi="Times New Roman"/>
              </w:rPr>
            </w:pPr>
          </w:p>
        </w:tc>
        <w:tc>
          <w:tcPr>
            <w:tcW w:w="3537" w:type="dxa"/>
            <w:gridSpan w:val="2"/>
            <w:tcBorders>
              <w:left w:val="nil"/>
              <w:right w:val="nil"/>
            </w:tcBorders>
          </w:tcPr>
          <w:p w14:paraId="303CBD32" w14:textId="77777777" w:rsidR="00C708B8" w:rsidRPr="009A2D67" w:rsidRDefault="00C708B8" w:rsidP="00377D1C">
            <w:pPr>
              <w:spacing w:line="340" w:lineRule="exact"/>
              <w:rPr>
                <w:rFonts w:ascii="Times New Roman" w:hAnsi="Times New Roman"/>
              </w:rPr>
            </w:pPr>
          </w:p>
        </w:tc>
      </w:tr>
      <w:tr w:rsidR="00C708B8" w:rsidRPr="009A2D67" w14:paraId="5B7EF7F3" w14:textId="77777777" w:rsidTr="00397E48">
        <w:tblPrEx>
          <w:tblCellMar>
            <w:left w:w="108" w:type="dxa"/>
            <w:right w:w="108" w:type="dxa"/>
          </w:tblCellMar>
        </w:tblPrEx>
        <w:trPr>
          <w:gridBefore w:val="3"/>
          <w:wBefore w:w="3646" w:type="dxa"/>
          <w:trHeight w:val="315"/>
        </w:trPr>
        <w:tc>
          <w:tcPr>
            <w:tcW w:w="5760" w:type="dxa"/>
            <w:gridSpan w:val="8"/>
            <w:tcBorders>
              <w:left w:val="nil"/>
              <w:right w:val="nil"/>
            </w:tcBorders>
          </w:tcPr>
          <w:p w14:paraId="2CE06165" w14:textId="77777777" w:rsidR="00C708B8" w:rsidRPr="009A2D67" w:rsidRDefault="00C708B8" w:rsidP="00377D1C">
            <w:pPr>
              <w:spacing w:line="340" w:lineRule="exact"/>
              <w:rPr>
                <w:rFonts w:ascii="Times New Roman" w:hAnsi="Times New Roman"/>
              </w:rPr>
            </w:pPr>
            <w:r w:rsidRPr="009A2D67">
              <w:rPr>
                <w:rFonts w:ascii="Times New Roman" w:hAnsi="Times New Roman"/>
              </w:rPr>
              <w:t>Darbus priėmiau: Techninė priežiūra</w:t>
            </w:r>
          </w:p>
        </w:tc>
        <w:tc>
          <w:tcPr>
            <w:tcW w:w="3068" w:type="dxa"/>
            <w:gridSpan w:val="4"/>
            <w:tcBorders>
              <w:left w:val="nil"/>
              <w:right w:val="nil"/>
            </w:tcBorders>
          </w:tcPr>
          <w:p w14:paraId="3705332A"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5D889312"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2FD85966" w14:textId="77777777" w:rsidTr="00397E48">
        <w:tblPrEx>
          <w:tblCellMar>
            <w:left w:w="108" w:type="dxa"/>
            <w:right w:w="108" w:type="dxa"/>
          </w:tblCellMar>
        </w:tblPrEx>
        <w:trPr>
          <w:gridBefore w:val="3"/>
          <w:wBefore w:w="3646" w:type="dxa"/>
          <w:trHeight w:val="374"/>
        </w:trPr>
        <w:tc>
          <w:tcPr>
            <w:tcW w:w="6560" w:type="dxa"/>
            <w:gridSpan w:val="9"/>
            <w:tcBorders>
              <w:left w:val="nil"/>
              <w:bottom w:val="single" w:sz="4" w:space="0" w:color="auto"/>
              <w:right w:val="nil"/>
            </w:tcBorders>
          </w:tcPr>
          <w:p w14:paraId="30FAFA06" w14:textId="77777777" w:rsidR="00C708B8" w:rsidRPr="009A2D67" w:rsidRDefault="00C708B8" w:rsidP="00377D1C">
            <w:pPr>
              <w:spacing w:line="340" w:lineRule="exact"/>
              <w:rPr>
                <w:rFonts w:ascii="Times New Roman" w:hAnsi="Times New Roman"/>
              </w:rPr>
            </w:pPr>
            <w:r w:rsidRPr="009A2D67">
              <w:rPr>
                <w:rFonts w:ascii="Times New Roman" w:hAnsi="Times New Roman"/>
              </w:rPr>
              <w:t>Suderinta: Užsakovas</w:t>
            </w:r>
          </w:p>
        </w:tc>
        <w:tc>
          <w:tcPr>
            <w:tcW w:w="2268" w:type="dxa"/>
            <w:gridSpan w:val="3"/>
            <w:tcBorders>
              <w:left w:val="nil"/>
              <w:bottom w:val="single" w:sz="4" w:space="0" w:color="auto"/>
              <w:right w:val="nil"/>
            </w:tcBorders>
          </w:tcPr>
          <w:p w14:paraId="27567C5E" w14:textId="77777777" w:rsidR="00C708B8" w:rsidRPr="009A2D67" w:rsidRDefault="00C708B8" w:rsidP="00377D1C">
            <w:pPr>
              <w:spacing w:line="340" w:lineRule="exact"/>
              <w:rPr>
                <w:rFonts w:ascii="Times New Roman" w:hAnsi="Times New Roman"/>
              </w:rPr>
            </w:pPr>
          </w:p>
        </w:tc>
        <w:tc>
          <w:tcPr>
            <w:tcW w:w="2268" w:type="dxa"/>
            <w:tcBorders>
              <w:left w:val="nil"/>
              <w:bottom w:val="single" w:sz="4" w:space="0" w:color="auto"/>
              <w:right w:val="nil"/>
            </w:tcBorders>
          </w:tcPr>
          <w:p w14:paraId="3BEDE0D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40176E19" w14:textId="77777777" w:rsidTr="00397E48">
        <w:tblPrEx>
          <w:tblCellMar>
            <w:left w:w="108" w:type="dxa"/>
            <w:right w:w="108" w:type="dxa"/>
          </w:tblCellMar>
        </w:tblPrEx>
        <w:trPr>
          <w:gridBefore w:val="3"/>
          <w:wBefore w:w="3646" w:type="dxa"/>
          <w:trHeight w:val="194"/>
        </w:trPr>
        <w:tc>
          <w:tcPr>
            <w:tcW w:w="6560" w:type="dxa"/>
            <w:gridSpan w:val="9"/>
            <w:tcBorders>
              <w:left w:val="nil"/>
              <w:right w:val="nil"/>
            </w:tcBorders>
          </w:tcPr>
          <w:p w14:paraId="19EA731A" w14:textId="2FF03D7D" w:rsidR="00C708B8" w:rsidRPr="009A2D67" w:rsidRDefault="00C708B8" w:rsidP="00377D1C">
            <w:pPr>
              <w:spacing w:line="340" w:lineRule="exact"/>
              <w:rPr>
                <w:rFonts w:ascii="Times New Roman" w:hAnsi="Times New Roman"/>
              </w:rPr>
            </w:pPr>
            <w:bookmarkStart w:id="124" w:name="_Hlk63151126"/>
            <w:r w:rsidRPr="009A2D67">
              <w:rPr>
                <w:rFonts w:ascii="Times New Roman" w:hAnsi="Times New Roman"/>
              </w:rPr>
              <w:t>Vizuoju: Objekto valdytojas (statytojas)</w:t>
            </w:r>
          </w:p>
        </w:tc>
        <w:tc>
          <w:tcPr>
            <w:tcW w:w="2268" w:type="dxa"/>
            <w:gridSpan w:val="3"/>
            <w:tcBorders>
              <w:left w:val="nil"/>
              <w:right w:val="nil"/>
            </w:tcBorders>
          </w:tcPr>
          <w:p w14:paraId="524E6624"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24B147A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bookmarkEnd w:id="124"/>
    </w:tbl>
    <w:p w14:paraId="03132B87" w14:textId="77777777" w:rsidR="00C708B8" w:rsidRPr="009A2D67" w:rsidRDefault="00C708B8" w:rsidP="00A77919">
      <w:pPr>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25"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26"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27" w:name="_Hlk50106490"/>
            <w:bookmarkStart w:id="128"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27"/>
            <w:bookmarkEnd w:id="128"/>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77777777"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29" w:name="_Hlk186445196"/>
      <w:r w:rsidRPr="009A2D67">
        <w:rPr>
          <w:rFonts w:ascii="Times New Roman" w:hAnsi="Times New Roman"/>
          <w:sz w:val="24"/>
        </w:rPr>
        <w:t>Perdavė:</w:t>
      </w:r>
    </w:p>
    <w:p w14:paraId="0E2FC631"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Valdytojas/statytojas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29"/>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6"/>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5"/>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0"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1" w:name="_Hlk140733538"/>
      <w:r w:rsidRPr="009A2D67">
        <w:rPr>
          <w:rFonts w:ascii="Times New Roman" w:hAnsi="Times New Roman"/>
          <w:color w:val="000000"/>
          <w:sz w:val="24"/>
        </w:rPr>
        <w:t>Valdytojas/statytojas ________________(pavadinimas), atstovaujamas  ________________(vardas, pavardė),</w:t>
      </w:r>
      <w:bookmarkEnd w:id="131"/>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77777777"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0"/>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9613" w14:textId="77777777" w:rsidR="00C070AF" w:rsidRPr="009A2D67" w:rsidRDefault="00C070AF" w:rsidP="00F43663">
      <w:r w:rsidRPr="009A2D67">
        <w:separator/>
      </w:r>
    </w:p>
  </w:endnote>
  <w:endnote w:type="continuationSeparator" w:id="0">
    <w:p w14:paraId="04B58AF0" w14:textId="77777777" w:rsidR="00C070AF" w:rsidRPr="009A2D67" w:rsidRDefault="00C070AF"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95C1" w14:textId="77777777" w:rsidR="00C070AF" w:rsidRPr="009A2D67" w:rsidRDefault="00C070AF" w:rsidP="00F43663">
      <w:r w:rsidRPr="009A2D67">
        <w:separator/>
      </w:r>
    </w:p>
  </w:footnote>
  <w:footnote w:type="continuationSeparator" w:id="0">
    <w:p w14:paraId="7BA1F57B" w14:textId="77777777" w:rsidR="00C070AF" w:rsidRPr="009A2D67" w:rsidRDefault="00C070AF"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64A"/>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144D"/>
    <w:rsid w:val="0010299D"/>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FBF"/>
    <w:rsid w:val="001E4545"/>
    <w:rsid w:val="001E57E0"/>
    <w:rsid w:val="001E6AB9"/>
    <w:rsid w:val="001E7CD0"/>
    <w:rsid w:val="001E7E83"/>
    <w:rsid w:val="001F00C3"/>
    <w:rsid w:val="001F0830"/>
    <w:rsid w:val="001F11F6"/>
    <w:rsid w:val="001F15B6"/>
    <w:rsid w:val="001F20C0"/>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2449"/>
    <w:rsid w:val="006A5A72"/>
    <w:rsid w:val="006A63EB"/>
    <w:rsid w:val="006A70CE"/>
    <w:rsid w:val="006B0F43"/>
    <w:rsid w:val="006B1C6A"/>
    <w:rsid w:val="006B2A9F"/>
    <w:rsid w:val="006B2F2B"/>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306"/>
    <w:rsid w:val="00861EF1"/>
    <w:rsid w:val="0086282B"/>
    <w:rsid w:val="00863594"/>
    <w:rsid w:val="00864BC4"/>
    <w:rsid w:val="0086732E"/>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D6C91"/>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C02290"/>
    <w:rsid w:val="00C023A0"/>
    <w:rsid w:val="00C050BA"/>
    <w:rsid w:val="00C070AF"/>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13131</Words>
  <Characters>74853</Characters>
  <Application>Microsoft Office Word</Application>
  <DocSecurity>0</DocSecurity>
  <Lines>623</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Šimas</cp:lastModifiedBy>
  <cp:revision>2</cp:revision>
  <cp:lastPrinted>2022-12-21T08:43:00Z</cp:lastPrinted>
  <dcterms:created xsi:type="dcterms:W3CDTF">2025-10-21T12:55:00Z</dcterms:created>
  <dcterms:modified xsi:type="dcterms:W3CDTF">2025-10-21T12:55:00Z</dcterms:modified>
</cp:coreProperties>
</file>